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1E0" w:firstRow="1" w:lastRow="1" w:firstColumn="1" w:lastColumn="1" w:noHBand="0" w:noVBand="0"/>
      </w:tblPr>
      <w:tblGrid>
        <w:gridCol w:w="1366"/>
        <w:gridCol w:w="450"/>
        <w:gridCol w:w="702"/>
        <w:gridCol w:w="1274"/>
        <w:gridCol w:w="1408"/>
        <w:gridCol w:w="1288"/>
        <w:gridCol w:w="1318"/>
        <w:gridCol w:w="1975"/>
      </w:tblGrid>
      <w:tr w:rsidR="006D7512" w:rsidRPr="006D7512" w:rsidTr="00176979">
        <w:tc>
          <w:tcPr>
            <w:tcW w:w="9781" w:type="dxa"/>
            <w:gridSpan w:val="8"/>
          </w:tcPr>
          <w:p w:rsidR="006D7512" w:rsidRPr="006D7512" w:rsidRDefault="006D7512" w:rsidP="006D7512">
            <w:pPr>
              <w:spacing w:after="0" w:line="240" w:lineRule="auto"/>
              <w:jc w:val="center"/>
              <w:rPr>
                <w:rFonts w:ascii="Times New Roman" w:eastAsia="Times New Roman" w:hAnsi="Times New Roman" w:cs="Times New Roman"/>
                <w:b/>
                <w:noProof/>
                <w:sz w:val="24"/>
                <w:szCs w:val="24"/>
                <w:lang w:eastAsia="tr-TR"/>
              </w:rPr>
            </w:pPr>
            <w:bookmarkStart w:id="0" w:name="_GoBack"/>
            <w:bookmarkEnd w:id="0"/>
            <w:r w:rsidRPr="006D7512">
              <w:rPr>
                <w:rFonts w:ascii="Times New Roman" w:eastAsia="Times New Roman" w:hAnsi="Times New Roman" w:cs="Times New Roman"/>
                <w:b/>
                <w:noProof/>
                <w:sz w:val="24"/>
                <w:szCs w:val="24"/>
                <w:lang w:eastAsia="tr-TR"/>
              </w:rPr>
              <w:t>KATMA DEĞER VERGİSİ YASASI</w:t>
            </w:r>
          </w:p>
          <w:p w:rsidR="006D7512" w:rsidRPr="006D7512" w:rsidRDefault="006D7512" w:rsidP="006D7512">
            <w:pPr>
              <w:spacing w:after="0" w:line="240" w:lineRule="auto"/>
              <w:jc w:val="center"/>
              <w:rPr>
                <w:rFonts w:ascii="Times New Roman" w:eastAsia="Times New Roman" w:hAnsi="Times New Roman" w:cs="Times New Roman"/>
                <w:b/>
                <w:noProof/>
                <w:sz w:val="24"/>
                <w:szCs w:val="24"/>
                <w:lang w:eastAsia="tr-TR"/>
              </w:rPr>
            </w:pPr>
            <w:r w:rsidRPr="006D7512">
              <w:rPr>
                <w:rFonts w:ascii="Times New Roman" w:eastAsia="Times New Roman" w:hAnsi="Times New Roman" w:cs="Times New Roman"/>
                <w:b/>
                <w:noProof/>
                <w:sz w:val="24"/>
                <w:szCs w:val="24"/>
                <w:lang w:eastAsia="tr-TR"/>
              </w:rPr>
              <w:t>(47/1992, 8/1998, 36/2006, 17/2007, 70/2007, 45/2008, 41/2010, 33/2012,40/2014 ve 44/2017  Sayılı Yasalar)</w:t>
            </w:r>
          </w:p>
          <w:p w:rsidR="006D7512" w:rsidRPr="006D7512" w:rsidRDefault="006D7512" w:rsidP="006D7512">
            <w:pPr>
              <w:spacing w:after="0" w:line="240" w:lineRule="auto"/>
              <w:jc w:val="center"/>
              <w:rPr>
                <w:rFonts w:ascii="Times New Roman" w:eastAsia="Times New Roman" w:hAnsi="Times New Roman" w:cs="Times New Roman"/>
                <w:noProof/>
                <w:sz w:val="24"/>
                <w:szCs w:val="24"/>
                <w:lang w:eastAsia="tr-TR"/>
              </w:rPr>
            </w:pPr>
          </w:p>
        </w:tc>
      </w:tr>
      <w:tr w:rsidR="006D7512" w:rsidRPr="006D7512" w:rsidTr="00176979">
        <w:tc>
          <w:tcPr>
            <w:tcW w:w="9781" w:type="dxa"/>
            <w:gridSpan w:val="8"/>
          </w:tcPr>
          <w:p w:rsidR="006D7512" w:rsidRPr="006D7512" w:rsidRDefault="006D7512" w:rsidP="006D7512">
            <w:pPr>
              <w:spacing w:after="0" w:line="240" w:lineRule="auto"/>
              <w:jc w:val="both"/>
              <w:rPr>
                <w:rFonts w:ascii="Times" w:eastAsia="Times New Roman" w:hAnsi="Times" w:cs="Times"/>
                <w:b/>
                <w:bCs/>
                <w:noProof/>
                <w:sz w:val="24"/>
                <w:szCs w:val="24"/>
                <w:lang w:eastAsia="tr-TR"/>
              </w:rPr>
            </w:pPr>
            <w:r w:rsidRPr="006D7512">
              <w:rPr>
                <w:rFonts w:ascii="Times" w:eastAsia="Times New Roman" w:hAnsi="Times" w:cs="Times"/>
                <w:b/>
                <w:bCs/>
                <w:noProof/>
                <w:sz w:val="24"/>
                <w:szCs w:val="24"/>
                <w:lang w:eastAsia="tr-TR"/>
              </w:rPr>
              <w:t>Kuzey Kıbrıs Türk Cumhuriyeti Bakanlar Kurulu, Katma Değer Vergisi Yasası’nın 28’inci maddesinin kendisine verdiği yetkiye dayanarak aşağıdaki Tüzüğü yapar:</w:t>
            </w:r>
          </w:p>
          <w:p w:rsidR="006D7512" w:rsidRPr="006D7512" w:rsidRDefault="006D7512" w:rsidP="006D7512">
            <w:pPr>
              <w:spacing w:after="0" w:line="240" w:lineRule="auto"/>
              <w:jc w:val="both"/>
              <w:rPr>
                <w:rFonts w:ascii="Times New Roman" w:eastAsia="Times New Roman" w:hAnsi="Times New Roman" w:cs="Times New Roman"/>
                <w:b/>
                <w:noProof/>
                <w:sz w:val="24"/>
                <w:szCs w:val="24"/>
                <w:lang w:eastAsia="tr-TR"/>
              </w:rPr>
            </w:pPr>
          </w:p>
        </w:tc>
      </w:tr>
      <w:tr w:rsidR="006D7512" w:rsidRPr="006D7512" w:rsidTr="00176979">
        <w:trPr>
          <w:trHeight w:val="1194"/>
        </w:trPr>
        <w:tc>
          <w:tcPr>
            <w:tcW w:w="1366" w:type="dxa"/>
            <w:vMerge w:val="restart"/>
          </w:tcPr>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Kısa İsim</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31.12.2010</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R.G.220</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roofErr w:type="gramStart"/>
            <w:r w:rsidRPr="006D7512">
              <w:rPr>
                <w:rFonts w:ascii="Times New Roman" w:eastAsia="Times New Roman" w:hAnsi="Times New Roman" w:cs="Times New Roman"/>
                <w:sz w:val="20"/>
                <w:szCs w:val="20"/>
                <w:lang w:eastAsia="tr-TR"/>
              </w:rPr>
              <w:t>EK.III</w:t>
            </w:r>
            <w:proofErr w:type="gramEnd"/>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A.E.784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28.02.2011</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R.G.37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roofErr w:type="gramStart"/>
            <w:r w:rsidRPr="006D7512">
              <w:rPr>
                <w:rFonts w:ascii="Times New Roman" w:eastAsia="Times New Roman" w:hAnsi="Times New Roman" w:cs="Times New Roman"/>
                <w:sz w:val="20"/>
                <w:szCs w:val="20"/>
                <w:lang w:eastAsia="tr-TR"/>
              </w:rPr>
              <w:t>EK.III</w:t>
            </w:r>
            <w:proofErr w:type="gramEnd"/>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A.E.108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15.07.2011</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R.G.119</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roofErr w:type="gramStart"/>
            <w:r w:rsidRPr="006D7512">
              <w:rPr>
                <w:rFonts w:ascii="Times New Roman" w:eastAsia="Times New Roman" w:hAnsi="Times New Roman" w:cs="Times New Roman"/>
                <w:sz w:val="20"/>
                <w:szCs w:val="20"/>
                <w:lang w:eastAsia="tr-TR"/>
              </w:rPr>
              <w:t>EK.III</w:t>
            </w:r>
            <w:proofErr w:type="gramEnd"/>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A.E.364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09.03.2012</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R.G.50</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roofErr w:type="gramStart"/>
            <w:r w:rsidRPr="006D7512">
              <w:rPr>
                <w:rFonts w:ascii="Times New Roman" w:eastAsia="Times New Roman" w:hAnsi="Times New Roman" w:cs="Times New Roman"/>
                <w:sz w:val="20"/>
                <w:szCs w:val="20"/>
                <w:lang w:eastAsia="tr-TR"/>
              </w:rPr>
              <w:t>EK.III</w:t>
            </w:r>
            <w:proofErr w:type="gramEnd"/>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A.E.151</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19.03.2012</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R.G.57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roofErr w:type="gramStart"/>
            <w:r w:rsidRPr="006D7512">
              <w:rPr>
                <w:rFonts w:ascii="Times New Roman" w:eastAsia="Times New Roman" w:hAnsi="Times New Roman" w:cs="Times New Roman"/>
                <w:sz w:val="20"/>
                <w:szCs w:val="20"/>
                <w:lang w:eastAsia="tr-TR"/>
              </w:rPr>
              <w:t>EK.III</w:t>
            </w:r>
            <w:proofErr w:type="gramEnd"/>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A.E.179</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29.03.2012</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R.G.63</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roofErr w:type="gramStart"/>
            <w:r w:rsidRPr="006D7512">
              <w:rPr>
                <w:rFonts w:ascii="Times New Roman" w:eastAsia="Times New Roman" w:hAnsi="Times New Roman" w:cs="Times New Roman"/>
                <w:sz w:val="20"/>
                <w:szCs w:val="20"/>
                <w:lang w:eastAsia="tr-TR"/>
              </w:rPr>
              <w:t>EK.III</w:t>
            </w:r>
            <w:proofErr w:type="gramEnd"/>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A.E.198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18.04.2013</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R.G.61</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roofErr w:type="gramStart"/>
            <w:r w:rsidRPr="006D7512">
              <w:rPr>
                <w:rFonts w:ascii="Times New Roman" w:eastAsia="Times New Roman" w:hAnsi="Times New Roman" w:cs="Times New Roman"/>
                <w:sz w:val="20"/>
                <w:szCs w:val="20"/>
                <w:lang w:eastAsia="tr-TR"/>
              </w:rPr>
              <w:t>EK.III</w:t>
            </w:r>
            <w:proofErr w:type="gramEnd"/>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A.E.205</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14.02.2014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R.G.35</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roofErr w:type="gramStart"/>
            <w:r w:rsidRPr="006D7512">
              <w:rPr>
                <w:rFonts w:ascii="Times New Roman" w:eastAsia="Times New Roman" w:hAnsi="Times New Roman" w:cs="Times New Roman"/>
                <w:sz w:val="20"/>
                <w:szCs w:val="20"/>
                <w:lang w:eastAsia="tr-TR"/>
              </w:rPr>
              <w:t>EK.III</w:t>
            </w:r>
            <w:proofErr w:type="gramEnd"/>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A.E.121</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tc>
        <w:tc>
          <w:tcPr>
            <w:tcW w:w="450" w:type="dxa"/>
          </w:tcPr>
          <w:p w:rsidR="006D7512" w:rsidRPr="006D7512" w:rsidRDefault="006D7512" w:rsidP="006D7512">
            <w:pPr>
              <w:spacing w:after="0" w:line="240" w:lineRule="auto"/>
              <w:jc w:val="both"/>
              <w:rPr>
                <w:rFonts w:ascii="Times New Roman" w:eastAsia="Times New Roman" w:hAnsi="Times New Roman" w:cs="Times New Roman"/>
                <w:noProof/>
                <w:sz w:val="24"/>
                <w:szCs w:val="24"/>
                <w:lang w:eastAsia="tr-TR"/>
              </w:rPr>
            </w:pPr>
            <w:r w:rsidRPr="006D7512">
              <w:rPr>
                <w:rFonts w:ascii="Times New Roman" w:eastAsia="Times New Roman" w:hAnsi="Times New Roman" w:cs="Times New Roman"/>
                <w:b/>
                <w:sz w:val="24"/>
                <w:szCs w:val="24"/>
                <w:lang w:eastAsia="tr-TR"/>
              </w:rPr>
              <w:t xml:space="preserve">1. </w:t>
            </w:r>
          </w:p>
        </w:tc>
        <w:tc>
          <w:tcPr>
            <w:tcW w:w="7965" w:type="dxa"/>
            <w:gridSpan w:val="6"/>
          </w:tcPr>
          <w:p w:rsidR="006D7512" w:rsidRPr="006D7512" w:rsidRDefault="006D7512" w:rsidP="006D7512">
            <w:pPr>
              <w:spacing w:after="0" w:line="240" w:lineRule="auto"/>
              <w:jc w:val="both"/>
              <w:rPr>
                <w:rFonts w:ascii="Times New Roman" w:eastAsia="Times New Roman" w:hAnsi="Times New Roman" w:cs="Times New Roman"/>
                <w:noProof/>
                <w:sz w:val="24"/>
                <w:szCs w:val="24"/>
                <w:lang w:eastAsia="tr-TR"/>
              </w:rPr>
            </w:pPr>
            <w:r w:rsidRPr="006D7512">
              <w:rPr>
                <w:rFonts w:ascii="Times New Roman" w:eastAsia="Times New Roman" w:hAnsi="Times New Roman" w:cs="Times New Roman"/>
                <w:noProof/>
                <w:sz w:val="24"/>
                <w:szCs w:val="24"/>
                <w:lang w:eastAsia="tr-TR"/>
              </w:rPr>
              <w:t>Bu Tüzük, Katma Değer Vergisi Oranları (Değişiklik) Tüzüğü olarak  isimlendirilir ve aşağıda “Esas Tüzük” olarak anılan Katma Değer Vergisi Oranları Tüzüğü ile birlikte okunur.</w:t>
            </w:r>
          </w:p>
        </w:tc>
      </w:tr>
      <w:tr w:rsidR="006D7512" w:rsidRPr="006D7512" w:rsidTr="00176979">
        <w:trPr>
          <w:gridAfter w:val="1"/>
          <w:wAfter w:w="1975" w:type="dxa"/>
          <w:trHeight w:val="6033"/>
        </w:trPr>
        <w:tc>
          <w:tcPr>
            <w:tcW w:w="1366" w:type="dxa"/>
            <w:vMerge/>
          </w:tcPr>
          <w:p w:rsidR="006D7512" w:rsidRPr="006D7512" w:rsidRDefault="006D7512" w:rsidP="006D7512">
            <w:pPr>
              <w:spacing w:after="0" w:line="240" w:lineRule="auto"/>
              <w:rPr>
                <w:rFonts w:ascii="Times New Roman" w:eastAsia="Times New Roman" w:hAnsi="Times New Roman" w:cs="Times New Roman"/>
                <w:sz w:val="20"/>
                <w:szCs w:val="20"/>
                <w:lang w:eastAsia="tr-TR"/>
              </w:rPr>
            </w:pPr>
          </w:p>
        </w:tc>
        <w:tc>
          <w:tcPr>
            <w:tcW w:w="1152" w:type="dxa"/>
            <w:gridSpan w:val="2"/>
          </w:tcPr>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02.04.2014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R.G.77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A.E.213</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28.04.2014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R.G.103</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A.E.282</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28.05.2014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RG.126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A.E.340</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20.02.2015</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R.G.29</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A.E.148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17.09.2015</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R.G.140</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A.E.628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30.10.2015</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R.G.158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A.E.691</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28.09.2016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R.G.112</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A.E.613</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tc>
        <w:tc>
          <w:tcPr>
            <w:tcW w:w="1274" w:type="dxa"/>
          </w:tcPr>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14.11.2016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148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712</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13.12.2016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166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794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10.07.2017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R.G.117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A.E.437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11.08.2017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134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526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27.12.2017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211</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824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30.04.2018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57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376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17.08.2018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 xml:space="preserve">R.G. 122               </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 xml:space="preserve">EK III                             </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 xml:space="preserve">A.E. 770  </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tc>
        <w:tc>
          <w:tcPr>
            <w:tcW w:w="1408" w:type="dxa"/>
          </w:tcPr>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29.08.2018</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126</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790</w:t>
            </w:r>
          </w:p>
          <w:p w:rsidR="006D7512" w:rsidRPr="006D7512" w:rsidRDefault="006D7512" w:rsidP="006D7512">
            <w:pPr>
              <w:spacing w:after="0" w:line="240" w:lineRule="auto"/>
              <w:rPr>
                <w:rFonts w:ascii="Times New Roman" w:eastAsia="Times New Roman" w:hAnsi="Times New Roman" w:cs="Times New Roman"/>
                <w:b/>
                <w:sz w:val="24"/>
                <w:szCs w:val="24"/>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31.08.2018</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R.G.127</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A.E.802</w:t>
            </w:r>
          </w:p>
          <w:p w:rsidR="006D7512" w:rsidRPr="006D7512" w:rsidRDefault="006D7512" w:rsidP="006D7512">
            <w:pPr>
              <w:spacing w:after="0" w:line="240" w:lineRule="auto"/>
              <w:rPr>
                <w:rFonts w:ascii="Times New Roman" w:eastAsia="Times New Roman" w:hAnsi="Times New Roman" w:cs="Times New Roman"/>
                <w:b/>
                <w:sz w:val="24"/>
                <w:szCs w:val="24"/>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22.03.2019</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40</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216</w:t>
            </w:r>
          </w:p>
          <w:p w:rsidR="006D7512" w:rsidRPr="006D7512" w:rsidRDefault="006D7512" w:rsidP="006D7512">
            <w:pPr>
              <w:spacing w:after="0" w:line="240" w:lineRule="auto"/>
              <w:rPr>
                <w:rFonts w:ascii="Times New Roman" w:eastAsia="Times New Roman" w:hAnsi="Times New Roman" w:cs="Times New Roman"/>
                <w:b/>
                <w:sz w:val="24"/>
                <w:szCs w:val="24"/>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28.06.2019</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RG.89</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b/>
                <w:sz w:val="24"/>
                <w:szCs w:val="24"/>
                <w:lang w:eastAsia="tr-TR"/>
              </w:rPr>
            </w:pPr>
            <w:r w:rsidRPr="006D7512">
              <w:rPr>
                <w:rFonts w:ascii="Times New Roman" w:eastAsia="Times New Roman" w:hAnsi="Times New Roman" w:cs="Times New Roman"/>
                <w:sz w:val="20"/>
                <w:szCs w:val="20"/>
                <w:lang w:eastAsia="tr-TR"/>
              </w:rPr>
              <w:t>A.E.476</w:t>
            </w:r>
          </w:p>
          <w:p w:rsidR="006D7512" w:rsidRPr="006D7512" w:rsidRDefault="006D7512" w:rsidP="006D7512">
            <w:pPr>
              <w:spacing w:after="0" w:line="240" w:lineRule="auto"/>
              <w:rPr>
                <w:rFonts w:ascii="Times New Roman" w:eastAsia="Times New Roman" w:hAnsi="Times New Roman" w:cs="Times New Roman"/>
                <w:b/>
                <w:sz w:val="24"/>
                <w:szCs w:val="24"/>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12.07.2019</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R.G.98</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A.E.520</w:t>
            </w:r>
          </w:p>
          <w:p w:rsidR="006D7512" w:rsidRPr="006D7512" w:rsidRDefault="006D7512" w:rsidP="006D7512">
            <w:pPr>
              <w:spacing w:after="0" w:line="240" w:lineRule="auto"/>
              <w:rPr>
                <w:rFonts w:ascii="Times New Roman" w:eastAsia="Times New Roman" w:hAnsi="Times New Roman" w:cs="Times New Roman"/>
                <w:b/>
                <w:sz w:val="24"/>
                <w:szCs w:val="24"/>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09.08.2019</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114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594</w:t>
            </w:r>
          </w:p>
          <w:p w:rsidR="006D7512" w:rsidRPr="006D7512" w:rsidRDefault="006D7512" w:rsidP="006D7512">
            <w:pPr>
              <w:spacing w:after="0" w:line="240" w:lineRule="auto"/>
              <w:rPr>
                <w:rFonts w:ascii="Times New Roman" w:eastAsia="Times New Roman" w:hAnsi="Times New Roman" w:cs="Times New Roman"/>
                <w:b/>
                <w:sz w:val="24"/>
                <w:szCs w:val="24"/>
                <w:lang w:eastAsia="tr-TR"/>
              </w:rPr>
            </w:pP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30.09.2019</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136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725</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tc>
        <w:tc>
          <w:tcPr>
            <w:tcW w:w="1288" w:type="dxa"/>
          </w:tcPr>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27.11.2019</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167</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864</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 xml:space="preserve">     </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25.12.2019</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183</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933</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28.02.2020</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31</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160" w:line="259" w:lineRule="auto"/>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154</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20.03.2020</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47</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201</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30.04.2020</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73</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272</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17.06.2020</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112</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 386</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04.09.2020</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R.G.167</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A.E.622</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tc>
        <w:tc>
          <w:tcPr>
            <w:tcW w:w="1318" w:type="dxa"/>
          </w:tcPr>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16.09.2020</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 179</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A.E.674</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31.12.2020</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R.G.239</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A.E.1009</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31.03.2021</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R.G.73</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A.E.221</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01.06.2021</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R.G.118</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EK III</w:t>
            </w: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r w:rsidRPr="006D7512">
              <w:rPr>
                <w:rFonts w:ascii="Times New Roman" w:eastAsia="Times New Roman" w:hAnsi="Times New Roman" w:cs="Times New Roman"/>
                <w:sz w:val="20"/>
                <w:szCs w:val="20"/>
                <w:lang w:eastAsia="tr-TR"/>
              </w:rPr>
              <w:t>A.E.396</w:t>
            </w:r>
          </w:p>
          <w:p w:rsidR="006D7512" w:rsidRPr="006D7512" w:rsidRDefault="006D7512" w:rsidP="006D7512">
            <w:pPr>
              <w:spacing w:after="0" w:line="240" w:lineRule="auto"/>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b/>
                <w:sz w:val="24"/>
                <w:szCs w:val="24"/>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p w:rsidR="006D7512" w:rsidRPr="006D7512" w:rsidRDefault="006D7512" w:rsidP="006D7512">
            <w:pPr>
              <w:spacing w:after="0" w:line="240" w:lineRule="auto"/>
              <w:jc w:val="both"/>
              <w:rPr>
                <w:rFonts w:ascii="Times New Roman" w:eastAsia="Times New Roman" w:hAnsi="Times New Roman" w:cs="Times New Roman"/>
                <w:sz w:val="20"/>
                <w:szCs w:val="20"/>
                <w:lang w:eastAsia="tr-TR"/>
              </w:rPr>
            </w:pPr>
          </w:p>
        </w:tc>
      </w:tr>
    </w:tbl>
    <w:p w:rsidR="007C0FAA" w:rsidRDefault="007C0FAA" w:rsidP="0061258A">
      <w:pPr>
        <w:tabs>
          <w:tab w:val="left" w:pos="2272"/>
        </w:tabs>
        <w:rPr>
          <w:rFonts w:ascii="Times New Roman" w:hAnsi="Times New Roman" w:cs="Times New Roman"/>
          <w:sz w:val="24"/>
          <w:szCs w:val="24"/>
        </w:rPr>
      </w:pPr>
    </w:p>
    <w:tbl>
      <w:tblPr>
        <w:tblStyle w:val="TableGrid"/>
        <w:tblpPr w:leftFromText="180" w:rightFromText="180" w:vertAnchor="page" w:horzAnchor="margin" w:tblpY="7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544"/>
        <w:gridCol w:w="643"/>
        <w:gridCol w:w="660"/>
        <w:gridCol w:w="5641"/>
      </w:tblGrid>
      <w:tr w:rsidR="006D7512" w:rsidTr="006D7512">
        <w:tc>
          <w:tcPr>
            <w:tcW w:w="1574" w:type="dxa"/>
            <w:vMerge w:val="restart"/>
          </w:tcPr>
          <w:p w:rsidR="006D7512" w:rsidRPr="00963DBB" w:rsidRDefault="006D7512" w:rsidP="006D7512">
            <w:pPr>
              <w:tabs>
                <w:tab w:val="left" w:pos="2272"/>
              </w:tabs>
              <w:rPr>
                <w:rFonts w:ascii="Times New Roman" w:hAnsi="Times New Roman" w:cs="Times New Roman"/>
              </w:rPr>
            </w:pPr>
            <w:r w:rsidRPr="00963DBB">
              <w:rPr>
                <w:rFonts w:ascii="Times New Roman" w:hAnsi="Times New Roman" w:cs="Times New Roman"/>
              </w:rPr>
              <w:lastRenderedPageBreak/>
              <w:t xml:space="preserve">Esas Tüzüğün </w:t>
            </w:r>
          </w:p>
          <w:p w:rsidR="006D7512" w:rsidRPr="00963DBB" w:rsidRDefault="006D7512" w:rsidP="006D7512">
            <w:pPr>
              <w:tabs>
                <w:tab w:val="left" w:pos="2272"/>
              </w:tabs>
              <w:rPr>
                <w:rFonts w:ascii="Times New Roman" w:hAnsi="Times New Roman" w:cs="Times New Roman"/>
              </w:rPr>
            </w:pPr>
            <w:r w:rsidRPr="00963DBB">
              <w:rPr>
                <w:rFonts w:ascii="Times New Roman" w:hAnsi="Times New Roman" w:cs="Times New Roman"/>
              </w:rPr>
              <w:t>3’üncü maddesine Bağlı</w:t>
            </w:r>
          </w:p>
          <w:p w:rsidR="006D7512" w:rsidRDefault="006D7512" w:rsidP="006D7512">
            <w:pPr>
              <w:tabs>
                <w:tab w:val="left" w:pos="2272"/>
              </w:tabs>
              <w:rPr>
                <w:rFonts w:ascii="Times New Roman" w:hAnsi="Times New Roman" w:cs="Times New Roman"/>
                <w:sz w:val="24"/>
                <w:szCs w:val="24"/>
              </w:rPr>
            </w:pPr>
            <w:r w:rsidRPr="00963DBB">
              <w:rPr>
                <w:rFonts w:ascii="Times New Roman" w:hAnsi="Times New Roman" w:cs="Times New Roman"/>
              </w:rPr>
              <w:t xml:space="preserve">Cetvel </w:t>
            </w:r>
            <w:proofErr w:type="spellStart"/>
            <w:r w:rsidRPr="00963DBB">
              <w:rPr>
                <w:rFonts w:ascii="Times New Roman" w:hAnsi="Times New Roman" w:cs="Times New Roman"/>
              </w:rPr>
              <w:t>I’in</w:t>
            </w:r>
            <w:proofErr w:type="spellEnd"/>
            <w:r w:rsidRPr="00963DBB">
              <w:rPr>
                <w:rFonts w:ascii="Times New Roman" w:hAnsi="Times New Roman" w:cs="Times New Roman"/>
              </w:rPr>
              <w:t xml:space="preserve"> Değiştirilmesi</w:t>
            </w:r>
          </w:p>
        </w:tc>
        <w:tc>
          <w:tcPr>
            <w:tcW w:w="544" w:type="dxa"/>
          </w:tcPr>
          <w:p w:rsidR="006D7512" w:rsidRDefault="006D7512" w:rsidP="006D7512">
            <w:pPr>
              <w:tabs>
                <w:tab w:val="left" w:pos="2272"/>
              </w:tabs>
              <w:rPr>
                <w:rFonts w:ascii="Times New Roman" w:hAnsi="Times New Roman" w:cs="Times New Roman"/>
                <w:sz w:val="24"/>
                <w:szCs w:val="24"/>
              </w:rPr>
            </w:pPr>
            <w:r>
              <w:rPr>
                <w:rFonts w:ascii="Times New Roman" w:hAnsi="Times New Roman" w:cs="Times New Roman"/>
                <w:sz w:val="24"/>
                <w:szCs w:val="24"/>
              </w:rPr>
              <w:t>2.</w:t>
            </w:r>
          </w:p>
        </w:tc>
        <w:tc>
          <w:tcPr>
            <w:tcW w:w="6944" w:type="dxa"/>
            <w:gridSpan w:val="3"/>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 xml:space="preserve">Esas Tüzük, 3’üncü maddesine bağlı Cetvel </w:t>
            </w:r>
            <w:proofErr w:type="spellStart"/>
            <w:r w:rsidRPr="00963DBB">
              <w:rPr>
                <w:rFonts w:ascii="Times New Roman" w:hAnsi="Times New Roman" w:cs="Times New Roman"/>
                <w:sz w:val="24"/>
                <w:szCs w:val="24"/>
              </w:rPr>
              <w:t>I’in</w:t>
            </w:r>
            <w:proofErr w:type="spellEnd"/>
            <w:r w:rsidRPr="00963DBB">
              <w:rPr>
                <w:rFonts w:ascii="Times New Roman" w:hAnsi="Times New Roman" w:cs="Times New Roman"/>
                <w:sz w:val="24"/>
                <w:szCs w:val="24"/>
              </w:rPr>
              <w:t xml:space="preserve"> “(A)  MAL TESLİMLERİ” başlığı altındaki 23’üncü maddeden hemen sonra 24’üncü, 25’inci, 26’ncı, 27’nci ve 28’inci </w:t>
            </w:r>
            <w:proofErr w:type="gramStart"/>
            <w:r w:rsidRPr="00963DBB">
              <w:rPr>
                <w:rFonts w:ascii="Times New Roman" w:hAnsi="Times New Roman" w:cs="Times New Roman"/>
                <w:sz w:val="24"/>
                <w:szCs w:val="24"/>
              </w:rPr>
              <w:t>maddeler  eklenmek</w:t>
            </w:r>
            <w:proofErr w:type="gramEnd"/>
            <w:r w:rsidRPr="00963DBB">
              <w:rPr>
                <w:rFonts w:ascii="Times New Roman" w:hAnsi="Times New Roman" w:cs="Times New Roman"/>
                <w:sz w:val="24"/>
                <w:szCs w:val="24"/>
              </w:rPr>
              <w:t xml:space="preserve"> suretiyle değiştirilir.</w:t>
            </w:r>
          </w:p>
        </w:tc>
      </w:tr>
      <w:tr w:rsidR="006D7512" w:rsidTr="006D7512">
        <w:tc>
          <w:tcPr>
            <w:tcW w:w="1574" w:type="dxa"/>
            <w:vMerge/>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r w:rsidRPr="00963DBB">
              <w:rPr>
                <w:rFonts w:ascii="Times New Roman" w:hAnsi="Times New Roman" w:cs="Times New Roman"/>
                <w:sz w:val="24"/>
                <w:szCs w:val="24"/>
              </w:rPr>
              <w:t>“24-</w:t>
            </w: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 xml:space="preserve">Münhasıran buğday unundan imal edilen ekmekler dışındaki somun veya dilimlenmiş her türlü ekmek, pide, yufka, sandviç veya </w:t>
            </w:r>
            <w:proofErr w:type="spellStart"/>
            <w:r w:rsidRPr="00963DBB">
              <w:rPr>
                <w:rFonts w:ascii="Times New Roman" w:hAnsi="Times New Roman" w:cs="Times New Roman"/>
                <w:sz w:val="24"/>
                <w:szCs w:val="24"/>
              </w:rPr>
              <w:t>burger</w:t>
            </w:r>
            <w:proofErr w:type="spellEnd"/>
            <w:r w:rsidRPr="00963DBB">
              <w:rPr>
                <w:rFonts w:ascii="Times New Roman" w:hAnsi="Times New Roman" w:cs="Times New Roman"/>
                <w:sz w:val="24"/>
                <w:szCs w:val="24"/>
              </w:rPr>
              <w:t xml:space="preserve"> ekmeği, her türlü çörek, </w:t>
            </w:r>
            <w:proofErr w:type="spellStart"/>
            <w:r w:rsidRPr="00963DBB">
              <w:rPr>
                <w:rFonts w:ascii="Times New Roman" w:hAnsi="Times New Roman" w:cs="Times New Roman"/>
                <w:sz w:val="24"/>
                <w:szCs w:val="24"/>
              </w:rPr>
              <w:t>peksemet</w:t>
            </w:r>
            <w:proofErr w:type="spellEnd"/>
            <w:r w:rsidRPr="00963DBB">
              <w:rPr>
                <w:rFonts w:ascii="Times New Roman" w:hAnsi="Times New Roman" w:cs="Times New Roman"/>
                <w:sz w:val="24"/>
                <w:szCs w:val="24"/>
              </w:rPr>
              <w:t xml:space="preserve">, sade veya dondurulmuş her türlü hamur, ekmekçi mayası ve </w:t>
            </w:r>
            <w:proofErr w:type="gramStart"/>
            <w:r w:rsidRPr="00963DBB">
              <w:rPr>
                <w:rFonts w:ascii="Times New Roman" w:hAnsi="Times New Roman" w:cs="Times New Roman"/>
                <w:sz w:val="24"/>
                <w:szCs w:val="24"/>
              </w:rPr>
              <w:t>konsantresi</w:t>
            </w:r>
            <w:proofErr w:type="gramEnd"/>
            <w:r w:rsidRPr="00963DBB">
              <w:rPr>
                <w:rFonts w:ascii="Times New Roman" w:hAnsi="Times New Roman" w:cs="Times New Roman"/>
                <w:sz w:val="24"/>
                <w:szCs w:val="24"/>
              </w:rPr>
              <w:t xml:space="preserve"> (simit ve simit evlerinde satılanlar hariç);”</w:t>
            </w:r>
          </w:p>
        </w:tc>
      </w:tr>
      <w:tr w:rsidR="006D7512" w:rsidTr="006D7512">
        <w:tc>
          <w:tcPr>
            <w:tcW w:w="1574" w:type="dxa"/>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r>
              <w:rPr>
                <w:rFonts w:ascii="Times New Roman" w:hAnsi="Times New Roman" w:cs="Times New Roman"/>
                <w:sz w:val="24"/>
                <w:szCs w:val="24"/>
              </w:rPr>
              <w:t>“25</w:t>
            </w:r>
            <w:r w:rsidRPr="00963DBB">
              <w:rPr>
                <w:rFonts w:ascii="Times New Roman" w:hAnsi="Times New Roman" w:cs="Times New Roman"/>
                <w:sz w:val="24"/>
                <w:szCs w:val="24"/>
              </w:rPr>
              <w:t>-</w:t>
            </w: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Her türlü katkılı ve katkısız unlar (buğday unu hariç) ve nişastalar;”</w:t>
            </w:r>
          </w:p>
        </w:tc>
      </w:tr>
      <w:tr w:rsidR="006D7512" w:rsidTr="006D7512">
        <w:tc>
          <w:tcPr>
            <w:tcW w:w="1574" w:type="dxa"/>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r>
              <w:rPr>
                <w:noProof/>
              </w:rPr>
              <w:t>“26-</w:t>
            </w: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Yenilebilen katı veya sıvı, bitkisel veya hayvansal yağlar ile sirke, nar ekşisi ve limon suyu;”</w:t>
            </w:r>
          </w:p>
        </w:tc>
      </w:tr>
      <w:tr w:rsidR="006D7512" w:rsidTr="006D7512">
        <w:tc>
          <w:tcPr>
            <w:tcW w:w="1574" w:type="dxa"/>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r>
              <w:rPr>
                <w:noProof/>
              </w:rPr>
              <w:t>“27-</w:t>
            </w: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 xml:space="preserve">Her türlü bisküvi ve gofretler (çikolatalı bisküvi ve gofretler </w:t>
            </w:r>
            <w:proofErr w:type="gramStart"/>
            <w:r w:rsidRPr="00963DBB">
              <w:rPr>
                <w:rFonts w:ascii="Times New Roman" w:hAnsi="Times New Roman" w:cs="Times New Roman"/>
                <w:sz w:val="24"/>
                <w:szCs w:val="24"/>
              </w:rPr>
              <w:t>dahil</w:t>
            </w:r>
            <w:proofErr w:type="gramEnd"/>
            <w:r w:rsidRPr="00963DBB">
              <w:rPr>
                <w:rFonts w:ascii="Times New Roman" w:hAnsi="Times New Roman" w:cs="Times New Roman"/>
                <w:sz w:val="24"/>
                <w:szCs w:val="24"/>
              </w:rPr>
              <w:t>);”</w:t>
            </w:r>
          </w:p>
        </w:tc>
      </w:tr>
      <w:tr w:rsidR="006D7512" w:rsidTr="006D7512">
        <w:tc>
          <w:tcPr>
            <w:tcW w:w="1574" w:type="dxa"/>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r>
              <w:rPr>
                <w:noProof/>
              </w:rPr>
              <w:t>“28-</w:t>
            </w: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Eczacılık ürünleri (Gümrük Vergileri Tarife Yasası’nın 30.01, 30.02, 30.03, 30.04, 30.05 ve 30.06 pozisyonunda sınıflandırılan mallar), vitaminler, hormonlar ve antibiyotikler.”</w:t>
            </w:r>
          </w:p>
          <w:p w:rsidR="006D7512" w:rsidRDefault="006D7512" w:rsidP="006D7512">
            <w:pPr>
              <w:tabs>
                <w:tab w:val="left" w:pos="2272"/>
              </w:tabs>
              <w:jc w:val="both"/>
              <w:rPr>
                <w:rFonts w:ascii="Times New Roman" w:hAnsi="Times New Roman" w:cs="Times New Roman"/>
                <w:sz w:val="24"/>
                <w:szCs w:val="24"/>
              </w:rPr>
            </w:pPr>
          </w:p>
        </w:tc>
      </w:tr>
      <w:tr w:rsidR="006D7512" w:rsidTr="006D7512">
        <w:tc>
          <w:tcPr>
            <w:tcW w:w="1574" w:type="dxa"/>
            <w:vMerge w:val="restart"/>
          </w:tcPr>
          <w:p w:rsidR="006D7512" w:rsidRPr="00963DBB" w:rsidRDefault="006D7512" w:rsidP="006D7512">
            <w:pPr>
              <w:tabs>
                <w:tab w:val="left" w:pos="2272"/>
              </w:tabs>
              <w:rPr>
                <w:rFonts w:ascii="Times New Roman" w:hAnsi="Times New Roman" w:cs="Times New Roman"/>
              </w:rPr>
            </w:pPr>
            <w:r w:rsidRPr="00963DBB">
              <w:rPr>
                <w:rFonts w:ascii="Times New Roman" w:hAnsi="Times New Roman" w:cs="Times New Roman"/>
              </w:rPr>
              <w:t xml:space="preserve">Esas Tüzüğün </w:t>
            </w:r>
          </w:p>
          <w:p w:rsidR="006D7512" w:rsidRPr="00963DBB" w:rsidRDefault="006D7512" w:rsidP="006D7512">
            <w:pPr>
              <w:tabs>
                <w:tab w:val="left" w:pos="2272"/>
              </w:tabs>
              <w:rPr>
                <w:rFonts w:ascii="Times New Roman" w:hAnsi="Times New Roman" w:cs="Times New Roman"/>
              </w:rPr>
            </w:pPr>
            <w:r w:rsidRPr="00963DBB">
              <w:rPr>
                <w:rFonts w:ascii="Times New Roman" w:hAnsi="Times New Roman" w:cs="Times New Roman"/>
              </w:rPr>
              <w:t>3’üncü maddesine Bağlı</w:t>
            </w:r>
          </w:p>
          <w:p w:rsidR="006D7512" w:rsidRDefault="006D7512" w:rsidP="006D7512">
            <w:pPr>
              <w:tabs>
                <w:tab w:val="left" w:pos="2272"/>
              </w:tabs>
              <w:rPr>
                <w:rFonts w:ascii="Times New Roman" w:hAnsi="Times New Roman" w:cs="Times New Roman"/>
                <w:sz w:val="24"/>
                <w:szCs w:val="24"/>
              </w:rPr>
            </w:pPr>
            <w:r w:rsidRPr="00963DBB">
              <w:rPr>
                <w:rFonts w:ascii="Times New Roman" w:hAnsi="Times New Roman" w:cs="Times New Roman"/>
              </w:rPr>
              <w:t xml:space="preserve">Cetvel </w:t>
            </w:r>
            <w:proofErr w:type="spellStart"/>
            <w:r w:rsidRPr="00963DBB">
              <w:rPr>
                <w:rFonts w:ascii="Times New Roman" w:hAnsi="Times New Roman" w:cs="Times New Roman"/>
              </w:rPr>
              <w:t>II’nin</w:t>
            </w:r>
            <w:proofErr w:type="spellEnd"/>
            <w:r w:rsidRPr="00963DBB">
              <w:rPr>
                <w:rFonts w:ascii="Times New Roman" w:hAnsi="Times New Roman" w:cs="Times New Roman"/>
              </w:rPr>
              <w:t xml:space="preserve"> Değiştirilmesi</w:t>
            </w:r>
          </w:p>
        </w:tc>
        <w:tc>
          <w:tcPr>
            <w:tcW w:w="544" w:type="dxa"/>
          </w:tcPr>
          <w:p w:rsidR="006D7512" w:rsidRDefault="006D7512" w:rsidP="006D7512">
            <w:pPr>
              <w:tabs>
                <w:tab w:val="left" w:pos="2272"/>
              </w:tabs>
              <w:rPr>
                <w:rFonts w:ascii="Times New Roman" w:hAnsi="Times New Roman" w:cs="Times New Roman"/>
                <w:sz w:val="24"/>
                <w:szCs w:val="24"/>
              </w:rPr>
            </w:pPr>
            <w:r>
              <w:rPr>
                <w:rFonts w:ascii="Times New Roman" w:hAnsi="Times New Roman" w:cs="Times New Roman"/>
                <w:sz w:val="24"/>
                <w:szCs w:val="24"/>
              </w:rPr>
              <w:t>3.</w:t>
            </w:r>
          </w:p>
        </w:tc>
        <w:tc>
          <w:tcPr>
            <w:tcW w:w="643" w:type="dxa"/>
          </w:tcPr>
          <w:p w:rsidR="006D7512" w:rsidRDefault="006D7512" w:rsidP="006D7512">
            <w:pPr>
              <w:tabs>
                <w:tab w:val="left" w:pos="2272"/>
              </w:tabs>
              <w:rPr>
                <w:rFonts w:ascii="Times New Roman" w:hAnsi="Times New Roman" w:cs="Times New Roman"/>
                <w:sz w:val="24"/>
                <w:szCs w:val="24"/>
              </w:rPr>
            </w:pPr>
            <w:r>
              <w:rPr>
                <w:rFonts w:ascii="Times New Roman" w:hAnsi="Times New Roman" w:cs="Times New Roman"/>
                <w:sz w:val="24"/>
                <w:szCs w:val="24"/>
              </w:rPr>
              <w:t>(A)</w:t>
            </w: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 xml:space="preserve">Esas Tüzük, 3’üncü maddesine bağlı Cetvel </w:t>
            </w:r>
            <w:proofErr w:type="spellStart"/>
            <w:r w:rsidRPr="00963DBB">
              <w:rPr>
                <w:rFonts w:ascii="Times New Roman" w:hAnsi="Times New Roman" w:cs="Times New Roman"/>
                <w:sz w:val="24"/>
                <w:szCs w:val="24"/>
              </w:rPr>
              <w:t>II’nin</w:t>
            </w:r>
            <w:proofErr w:type="spellEnd"/>
            <w:r w:rsidRPr="00963DBB">
              <w:rPr>
                <w:rFonts w:ascii="Times New Roman" w:hAnsi="Times New Roman" w:cs="Times New Roman"/>
                <w:sz w:val="24"/>
                <w:szCs w:val="24"/>
              </w:rPr>
              <w:t xml:space="preserve"> “(A)  MAL TESLİMLERİ” başlığı altındaki 1’inci, 2’nci, 7’nci ve 11’inci maddeleri kaldırılmak suretiyle değiştirilir.</w:t>
            </w:r>
          </w:p>
        </w:tc>
      </w:tr>
      <w:tr w:rsidR="006D7512" w:rsidTr="006D7512">
        <w:tc>
          <w:tcPr>
            <w:tcW w:w="1574" w:type="dxa"/>
            <w:vMerge/>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r>
              <w:rPr>
                <w:rFonts w:ascii="Times New Roman" w:hAnsi="Times New Roman" w:cs="Times New Roman"/>
                <w:sz w:val="24"/>
                <w:szCs w:val="24"/>
              </w:rPr>
              <w:t>(B)</w:t>
            </w: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 xml:space="preserve">Esas Tüzük, 3’üncü maddesine bağlı Cetvel </w:t>
            </w:r>
            <w:proofErr w:type="spellStart"/>
            <w:r w:rsidRPr="00963DBB">
              <w:rPr>
                <w:rFonts w:ascii="Times New Roman" w:hAnsi="Times New Roman" w:cs="Times New Roman"/>
                <w:sz w:val="24"/>
                <w:szCs w:val="24"/>
              </w:rPr>
              <w:t>II’nin</w:t>
            </w:r>
            <w:proofErr w:type="spellEnd"/>
            <w:r w:rsidRPr="00963DBB">
              <w:rPr>
                <w:rFonts w:ascii="Times New Roman" w:hAnsi="Times New Roman" w:cs="Times New Roman"/>
                <w:sz w:val="24"/>
                <w:szCs w:val="24"/>
              </w:rPr>
              <w:t xml:space="preserve"> “(A)  MAL TESLİMLERİ” başlığı altındaki 15’inci maddesi kaldırılmak ve yerine aşağıdaki yeni 15’inci madde konmak suretiyle değiştirilir:</w:t>
            </w:r>
          </w:p>
        </w:tc>
      </w:tr>
      <w:tr w:rsidR="006D7512" w:rsidTr="006D7512">
        <w:tc>
          <w:tcPr>
            <w:tcW w:w="1574" w:type="dxa"/>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p>
        </w:tc>
        <w:tc>
          <w:tcPr>
            <w:tcW w:w="660" w:type="dxa"/>
          </w:tcPr>
          <w:p w:rsidR="006D7512" w:rsidRDefault="006D7512" w:rsidP="006D7512">
            <w:pPr>
              <w:tabs>
                <w:tab w:val="left" w:pos="2272"/>
              </w:tabs>
              <w:jc w:val="both"/>
              <w:rPr>
                <w:rFonts w:ascii="Times New Roman" w:hAnsi="Times New Roman" w:cs="Times New Roman"/>
                <w:sz w:val="24"/>
                <w:szCs w:val="24"/>
              </w:rPr>
            </w:pPr>
            <w:r>
              <w:rPr>
                <w:rFonts w:ascii="Times New Roman" w:hAnsi="Times New Roman" w:cs="Times New Roman"/>
                <w:sz w:val="24"/>
                <w:szCs w:val="24"/>
              </w:rPr>
              <w:t>“15-</w:t>
            </w:r>
          </w:p>
          <w:p w:rsidR="006D7512" w:rsidRDefault="006D7512" w:rsidP="006D7512">
            <w:pPr>
              <w:tabs>
                <w:tab w:val="left" w:pos="2272"/>
              </w:tabs>
              <w:jc w:val="both"/>
              <w:rPr>
                <w:rFonts w:ascii="Times New Roman" w:hAnsi="Times New Roman" w:cs="Times New Roman"/>
                <w:sz w:val="24"/>
                <w:szCs w:val="24"/>
              </w:rPr>
            </w:pPr>
          </w:p>
        </w:tc>
        <w:tc>
          <w:tcPr>
            <w:tcW w:w="5641" w:type="dxa"/>
          </w:tcPr>
          <w:p w:rsidR="006D7512" w:rsidRDefault="006D7512" w:rsidP="006D7512">
            <w:pPr>
              <w:rPr>
                <w:rFonts w:ascii="Times New Roman" w:hAnsi="Times New Roman" w:cs="Times New Roman"/>
                <w:sz w:val="24"/>
                <w:szCs w:val="24"/>
              </w:rPr>
            </w:pPr>
            <w:r w:rsidRPr="00963DBB">
              <w:rPr>
                <w:rFonts w:ascii="Times New Roman" w:hAnsi="Times New Roman" w:cs="Times New Roman"/>
                <w:sz w:val="24"/>
                <w:szCs w:val="24"/>
              </w:rPr>
              <w:t xml:space="preserve">Tıpta, cerrahide, dişçilikte ve veterinerlikte kullanılan alet ve cihazlar (Gümrük Vergileri Tarife Yasası’nın 90.18, 90.19, 90.20, 90.21, 90.22 pozisyonlarında sınıflandırılan mallar), diğer sağlık ürünleri (numaralı gözlük camları, çerçeveleri, aksam ve parçaları, optik </w:t>
            </w:r>
            <w:proofErr w:type="spellStart"/>
            <w:r w:rsidRPr="00963DBB">
              <w:rPr>
                <w:rFonts w:ascii="Times New Roman" w:hAnsi="Times New Roman" w:cs="Times New Roman"/>
                <w:sz w:val="24"/>
                <w:szCs w:val="24"/>
              </w:rPr>
              <w:t>kontakt</w:t>
            </w:r>
            <w:proofErr w:type="spellEnd"/>
            <w:r w:rsidRPr="00963DBB">
              <w:rPr>
                <w:rFonts w:ascii="Times New Roman" w:hAnsi="Times New Roman" w:cs="Times New Roman"/>
                <w:sz w:val="24"/>
                <w:szCs w:val="24"/>
              </w:rPr>
              <w:t xml:space="preserve">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 </w:t>
            </w:r>
            <w:proofErr w:type="gramStart"/>
            <w:r w:rsidRPr="00963DBB">
              <w:rPr>
                <w:rFonts w:ascii="Times New Roman" w:hAnsi="Times New Roman" w:cs="Times New Roman"/>
                <w:sz w:val="24"/>
                <w:szCs w:val="24"/>
              </w:rPr>
              <w:t>dahil</w:t>
            </w:r>
            <w:proofErr w:type="gramEnd"/>
            <w:r w:rsidRPr="00963DBB">
              <w:rPr>
                <w:rFonts w:ascii="Times New Roman" w:hAnsi="Times New Roman" w:cs="Times New Roman"/>
                <w:sz w:val="24"/>
                <w:szCs w:val="24"/>
              </w:rPr>
              <w:t xml:space="preserve"> (kolonyalar hariç) ile 94.02 pozisyonunda sınıflandırılan mobilyalar (berber koltukları ve aksamları hariç) ve </w:t>
            </w:r>
            <w:proofErr w:type="spellStart"/>
            <w:r w:rsidRPr="00963DBB">
              <w:rPr>
                <w:rFonts w:ascii="Times New Roman" w:hAnsi="Times New Roman" w:cs="Times New Roman"/>
                <w:sz w:val="24"/>
                <w:szCs w:val="24"/>
              </w:rPr>
              <w:t>labaratuvarlarda</w:t>
            </w:r>
            <w:proofErr w:type="spellEnd"/>
            <w:r w:rsidRPr="00963DBB">
              <w:rPr>
                <w:rFonts w:ascii="Times New Roman" w:hAnsi="Times New Roman" w:cs="Times New Roman"/>
                <w:sz w:val="24"/>
                <w:szCs w:val="24"/>
              </w:rPr>
              <w:t xml:space="preserve"> teşhise yönelik kullanılan malzemeler,”</w:t>
            </w:r>
          </w:p>
          <w:p w:rsidR="006D7512" w:rsidRDefault="006D7512" w:rsidP="006D7512">
            <w:pPr>
              <w:tabs>
                <w:tab w:val="left" w:pos="2272"/>
              </w:tabs>
              <w:jc w:val="both"/>
              <w:rPr>
                <w:rFonts w:ascii="Times New Roman" w:hAnsi="Times New Roman" w:cs="Times New Roman"/>
                <w:sz w:val="24"/>
                <w:szCs w:val="24"/>
              </w:rPr>
            </w:pPr>
          </w:p>
        </w:tc>
      </w:tr>
      <w:tr w:rsidR="006D7512" w:rsidTr="006D7512">
        <w:tc>
          <w:tcPr>
            <w:tcW w:w="1574" w:type="dxa"/>
          </w:tcPr>
          <w:p w:rsidR="006D7512" w:rsidRDefault="006D7512" w:rsidP="006D7512">
            <w:pPr>
              <w:tabs>
                <w:tab w:val="left" w:pos="2272"/>
              </w:tabs>
              <w:rPr>
                <w:rFonts w:ascii="Times New Roman" w:hAnsi="Times New Roman" w:cs="Times New Roman"/>
                <w:sz w:val="24"/>
                <w:szCs w:val="24"/>
              </w:rPr>
            </w:pPr>
            <w:r w:rsidRPr="00963DBB">
              <w:rPr>
                <w:rFonts w:ascii="Times New Roman" w:hAnsi="Times New Roman" w:cs="Times New Roman"/>
                <w:sz w:val="24"/>
                <w:szCs w:val="24"/>
              </w:rPr>
              <w:t>Yürürlüğe Giriş</w:t>
            </w:r>
          </w:p>
        </w:tc>
        <w:tc>
          <w:tcPr>
            <w:tcW w:w="544" w:type="dxa"/>
          </w:tcPr>
          <w:p w:rsidR="006D7512" w:rsidRDefault="006D7512" w:rsidP="006D7512">
            <w:pPr>
              <w:tabs>
                <w:tab w:val="left" w:pos="2272"/>
              </w:tabs>
              <w:rPr>
                <w:rFonts w:ascii="Times New Roman" w:hAnsi="Times New Roman" w:cs="Times New Roman"/>
                <w:sz w:val="24"/>
                <w:szCs w:val="24"/>
              </w:rPr>
            </w:pPr>
            <w:r>
              <w:rPr>
                <w:rFonts w:ascii="Times New Roman" w:hAnsi="Times New Roman" w:cs="Times New Roman"/>
                <w:sz w:val="24"/>
                <w:szCs w:val="24"/>
              </w:rPr>
              <w:t>4.</w:t>
            </w:r>
          </w:p>
        </w:tc>
        <w:tc>
          <w:tcPr>
            <w:tcW w:w="6944" w:type="dxa"/>
            <w:gridSpan w:val="3"/>
          </w:tcPr>
          <w:p w:rsidR="006D7512" w:rsidRDefault="006D7512" w:rsidP="006D7512">
            <w:pPr>
              <w:tabs>
                <w:tab w:val="left" w:pos="2272"/>
              </w:tabs>
              <w:jc w:val="both"/>
              <w:rPr>
                <w:rFonts w:ascii="Times New Roman" w:hAnsi="Times New Roman" w:cs="Times New Roman"/>
                <w:sz w:val="24"/>
                <w:szCs w:val="24"/>
              </w:rPr>
            </w:pPr>
            <w:r w:rsidRPr="00963DBB">
              <w:rPr>
                <w:rFonts w:ascii="Times New Roman" w:hAnsi="Times New Roman" w:cs="Times New Roman"/>
                <w:sz w:val="24"/>
                <w:szCs w:val="24"/>
              </w:rPr>
              <w:t xml:space="preserve">Bu Tüzük, Resmi </w:t>
            </w:r>
            <w:proofErr w:type="spellStart"/>
            <w:r w:rsidRPr="00963DBB">
              <w:rPr>
                <w:rFonts w:ascii="Times New Roman" w:hAnsi="Times New Roman" w:cs="Times New Roman"/>
                <w:sz w:val="24"/>
                <w:szCs w:val="24"/>
              </w:rPr>
              <w:t>Gazete’de</w:t>
            </w:r>
            <w:proofErr w:type="spellEnd"/>
            <w:r w:rsidRPr="00963DBB">
              <w:rPr>
                <w:rFonts w:ascii="Times New Roman" w:hAnsi="Times New Roman" w:cs="Times New Roman"/>
                <w:sz w:val="24"/>
                <w:szCs w:val="24"/>
              </w:rPr>
              <w:t xml:space="preserve"> yayımlandığı tarihi izleyen ayın başı</w:t>
            </w:r>
            <w:r>
              <w:rPr>
                <w:rFonts w:ascii="Times New Roman" w:hAnsi="Times New Roman" w:cs="Times New Roman"/>
                <w:sz w:val="24"/>
                <w:szCs w:val="24"/>
              </w:rPr>
              <w:t xml:space="preserve">ndan başlayarak yürürlüğe girer ve </w:t>
            </w:r>
            <w:r w:rsidRPr="004D7EC1">
              <w:rPr>
                <w:rFonts w:ascii="Times New Roman" w:hAnsi="Times New Roman" w:cs="Times New Roman"/>
                <w:sz w:val="24"/>
                <w:szCs w:val="24"/>
              </w:rPr>
              <w:t>28.02.2</w:t>
            </w:r>
            <w:r>
              <w:rPr>
                <w:rFonts w:ascii="Times New Roman" w:hAnsi="Times New Roman" w:cs="Times New Roman"/>
                <w:sz w:val="24"/>
                <w:szCs w:val="24"/>
              </w:rPr>
              <w:t xml:space="preserve">022 tarihine kadar </w:t>
            </w:r>
            <w:r w:rsidRPr="004D7EC1">
              <w:rPr>
                <w:rFonts w:ascii="Times New Roman" w:hAnsi="Times New Roman" w:cs="Times New Roman"/>
                <w:sz w:val="24"/>
                <w:szCs w:val="24"/>
              </w:rPr>
              <w:t>uygulanır.</w:t>
            </w:r>
          </w:p>
        </w:tc>
      </w:tr>
      <w:tr w:rsidR="006D7512" w:rsidTr="006D7512">
        <w:tc>
          <w:tcPr>
            <w:tcW w:w="1574" w:type="dxa"/>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p>
        </w:tc>
      </w:tr>
      <w:tr w:rsidR="006D7512" w:rsidTr="006D7512">
        <w:tc>
          <w:tcPr>
            <w:tcW w:w="1574" w:type="dxa"/>
          </w:tcPr>
          <w:p w:rsidR="006D7512" w:rsidRDefault="006D7512" w:rsidP="006D7512">
            <w:pPr>
              <w:tabs>
                <w:tab w:val="left" w:pos="2272"/>
              </w:tabs>
              <w:rPr>
                <w:rFonts w:ascii="Times New Roman" w:hAnsi="Times New Roman" w:cs="Times New Roman"/>
                <w:sz w:val="24"/>
                <w:szCs w:val="24"/>
              </w:rPr>
            </w:pPr>
          </w:p>
        </w:tc>
        <w:tc>
          <w:tcPr>
            <w:tcW w:w="544" w:type="dxa"/>
          </w:tcPr>
          <w:p w:rsidR="006D7512" w:rsidRDefault="006D7512" w:rsidP="006D7512">
            <w:pPr>
              <w:tabs>
                <w:tab w:val="left" w:pos="2272"/>
              </w:tabs>
              <w:rPr>
                <w:rFonts w:ascii="Times New Roman" w:hAnsi="Times New Roman" w:cs="Times New Roman"/>
                <w:sz w:val="24"/>
                <w:szCs w:val="24"/>
              </w:rPr>
            </w:pPr>
          </w:p>
        </w:tc>
        <w:tc>
          <w:tcPr>
            <w:tcW w:w="643" w:type="dxa"/>
          </w:tcPr>
          <w:p w:rsidR="006D7512" w:rsidRDefault="006D7512" w:rsidP="006D7512">
            <w:pPr>
              <w:tabs>
                <w:tab w:val="left" w:pos="2272"/>
              </w:tabs>
              <w:rPr>
                <w:rFonts w:ascii="Times New Roman" w:hAnsi="Times New Roman" w:cs="Times New Roman"/>
                <w:sz w:val="24"/>
                <w:szCs w:val="24"/>
              </w:rPr>
            </w:pPr>
          </w:p>
          <w:p w:rsidR="006D7512" w:rsidRDefault="006D7512" w:rsidP="006D7512">
            <w:pPr>
              <w:tabs>
                <w:tab w:val="left" w:pos="2272"/>
              </w:tabs>
              <w:rPr>
                <w:rFonts w:ascii="Times New Roman" w:hAnsi="Times New Roman" w:cs="Times New Roman"/>
                <w:sz w:val="24"/>
                <w:szCs w:val="24"/>
              </w:rPr>
            </w:pPr>
          </w:p>
          <w:p w:rsidR="006D7512" w:rsidRDefault="006D7512" w:rsidP="006D7512">
            <w:pPr>
              <w:tabs>
                <w:tab w:val="left" w:pos="2272"/>
              </w:tabs>
              <w:rPr>
                <w:rFonts w:ascii="Times New Roman" w:hAnsi="Times New Roman" w:cs="Times New Roman"/>
                <w:sz w:val="24"/>
                <w:szCs w:val="24"/>
              </w:rPr>
            </w:pPr>
          </w:p>
        </w:tc>
        <w:tc>
          <w:tcPr>
            <w:tcW w:w="6301" w:type="dxa"/>
            <w:gridSpan w:val="2"/>
          </w:tcPr>
          <w:p w:rsidR="006D7512" w:rsidRDefault="006D7512" w:rsidP="006D7512">
            <w:pPr>
              <w:tabs>
                <w:tab w:val="left" w:pos="2272"/>
              </w:tabs>
              <w:jc w:val="both"/>
              <w:rPr>
                <w:rFonts w:ascii="Times New Roman" w:hAnsi="Times New Roman" w:cs="Times New Roman"/>
                <w:sz w:val="24"/>
                <w:szCs w:val="24"/>
              </w:rPr>
            </w:pPr>
          </w:p>
        </w:tc>
      </w:tr>
    </w:tbl>
    <w:p w:rsidR="006D7512" w:rsidRPr="00251FE0" w:rsidRDefault="006D7512" w:rsidP="0061258A">
      <w:pPr>
        <w:tabs>
          <w:tab w:val="left" w:pos="2272"/>
        </w:tabs>
        <w:rPr>
          <w:rFonts w:ascii="Times New Roman" w:hAnsi="Times New Roman" w:cs="Times New Roman"/>
          <w:sz w:val="24"/>
          <w:szCs w:val="24"/>
        </w:rPr>
      </w:pPr>
    </w:p>
    <w:sectPr w:rsidR="006D7512" w:rsidRPr="00251FE0" w:rsidSect="00697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6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12529"/>
    <w:multiLevelType w:val="hybridMultilevel"/>
    <w:tmpl w:val="9A9AB2CC"/>
    <w:lvl w:ilvl="0" w:tplc="B5BEB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12"/>
    <w:rsid w:val="000042B2"/>
    <w:rsid w:val="00034148"/>
    <w:rsid w:val="00042614"/>
    <w:rsid w:val="000664A0"/>
    <w:rsid w:val="0007526A"/>
    <w:rsid w:val="0009474D"/>
    <w:rsid w:val="000B7301"/>
    <w:rsid w:val="000B7A5C"/>
    <w:rsid w:val="000C705A"/>
    <w:rsid w:val="000D522A"/>
    <w:rsid w:val="000D74F5"/>
    <w:rsid w:val="000E3290"/>
    <w:rsid w:val="000F22F1"/>
    <w:rsid w:val="00105954"/>
    <w:rsid w:val="00117E40"/>
    <w:rsid w:val="001246E4"/>
    <w:rsid w:val="0014275E"/>
    <w:rsid w:val="00152696"/>
    <w:rsid w:val="0016623F"/>
    <w:rsid w:val="0018214A"/>
    <w:rsid w:val="001A0471"/>
    <w:rsid w:val="001A71AC"/>
    <w:rsid w:val="001D0C61"/>
    <w:rsid w:val="001D41D4"/>
    <w:rsid w:val="001D67A6"/>
    <w:rsid w:val="001E23C4"/>
    <w:rsid w:val="001F1ECD"/>
    <w:rsid w:val="00204641"/>
    <w:rsid w:val="0021083F"/>
    <w:rsid w:val="0021092D"/>
    <w:rsid w:val="00213243"/>
    <w:rsid w:val="002149EA"/>
    <w:rsid w:val="0021632E"/>
    <w:rsid w:val="00220509"/>
    <w:rsid w:val="00244F79"/>
    <w:rsid w:val="00251FE0"/>
    <w:rsid w:val="002575FC"/>
    <w:rsid w:val="0028661C"/>
    <w:rsid w:val="00287BB0"/>
    <w:rsid w:val="00294F3A"/>
    <w:rsid w:val="00295C65"/>
    <w:rsid w:val="002B7A8E"/>
    <w:rsid w:val="002D378D"/>
    <w:rsid w:val="002E7A27"/>
    <w:rsid w:val="00312C68"/>
    <w:rsid w:val="00315F1B"/>
    <w:rsid w:val="00317B42"/>
    <w:rsid w:val="003674ED"/>
    <w:rsid w:val="003746C7"/>
    <w:rsid w:val="0039145F"/>
    <w:rsid w:val="00396CE7"/>
    <w:rsid w:val="003A5C5B"/>
    <w:rsid w:val="003A723A"/>
    <w:rsid w:val="003C4811"/>
    <w:rsid w:val="003C563A"/>
    <w:rsid w:val="003C64D0"/>
    <w:rsid w:val="004012A6"/>
    <w:rsid w:val="00414EF6"/>
    <w:rsid w:val="004150E4"/>
    <w:rsid w:val="0041530E"/>
    <w:rsid w:val="0043176B"/>
    <w:rsid w:val="0044149C"/>
    <w:rsid w:val="00444410"/>
    <w:rsid w:val="0045160F"/>
    <w:rsid w:val="00473203"/>
    <w:rsid w:val="00481F64"/>
    <w:rsid w:val="0049405B"/>
    <w:rsid w:val="00497138"/>
    <w:rsid w:val="004A284F"/>
    <w:rsid w:val="004A7475"/>
    <w:rsid w:val="004B3AA3"/>
    <w:rsid w:val="004C685B"/>
    <w:rsid w:val="004D128A"/>
    <w:rsid w:val="004D78DC"/>
    <w:rsid w:val="004D7EC1"/>
    <w:rsid w:val="005442FE"/>
    <w:rsid w:val="005511C5"/>
    <w:rsid w:val="0056453E"/>
    <w:rsid w:val="00566FC4"/>
    <w:rsid w:val="00593279"/>
    <w:rsid w:val="005B619D"/>
    <w:rsid w:val="005C439F"/>
    <w:rsid w:val="006030AA"/>
    <w:rsid w:val="0061258A"/>
    <w:rsid w:val="00635613"/>
    <w:rsid w:val="00652D56"/>
    <w:rsid w:val="00676BF3"/>
    <w:rsid w:val="0068189E"/>
    <w:rsid w:val="006971A7"/>
    <w:rsid w:val="006B6F15"/>
    <w:rsid w:val="006C15A2"/>
    <w:rsid w:val="006C1DDC"/>
    <w:rsid w:val="006C6380"/>
    <w:rsid w:val="006C6CC2"/>
    <w:rsid w:val="006D7512"/>
    <w:rsid w:val="006E335C"/>
    <w:rsid w:val="006E558F"/>
    <w:rsid w:val="006E5747"/>
    <w:rsid w:val="006F0AED"/>
    <w:rsid w:val="0070180F"/>
    <w:rsid w:val="0070622B"/>
    <w:rsid w:val="0071319E"/>
    <w:rsid w:val="00734C3A"/>
    <w:rsid w:val="007507D1"/>
    <w:rsid w:val="00756916"/>
    <w:rsid w:val="00757EBC"/>
    <w:rsid w:val="00763F6B"/>
    <w:rsid w:val="00773652"/>
    <w:rsid w:val="0078008E"/>
    <w:rsid w:val="007A22EC"/>
    <w:rsid w:val="007A5949"/>
    <w:rsid w:val="007B100D"/>
    <w:rsid w:val="007C0FAA"/>
    <w:rsid w:val="008074FD"/>
    <w:rsid w:val="0081183F"/>
    <w:rsid w:val="00867100"/>
    <w:rsid w:val="008762DB"/>
    <w:rsid w:val="008A6B33"/>
    <w:rsid w:val="008B5DDD"/>
    <w:rsid w:val="008C3F82"/>
    <w:rsid w:val="008D5B29"/>
    <w:rsid w:val="00900E16"/>
    <w:rsid w:val="00904929"/>
    <w:rsid w:val="0090542F"/>
    <w:rsid w:val="00911BD3"/>
    <w:rsid w:val="009348E1"/>
    <w:rsid w:val="00943DAE"/>
    <w:rsid w:val="009446C6"/>
    <w:rsid w:val="00954D71"/>
    <w:rsid w:val="00956395"/>
    <w:rsid w:val="00960E4C"/>
    <w:rsid w:val="00963DBB"/>
    <w:rsid w:val="00992117"/>
    <w:rsid w:val="009A09C1"/>
    <w:rsid w:val="009A2419"/>
    <w:rsid w:val="009E2793"/>
    <w:rsid w:val="00A27D66"/>
    <w:rsid w:val="00A41A83"/>
    <w:rsid w:val="00A5569E"/>
    <w:rsid w:val="00A5715E"/>
    <w:rsid w:val="00A6536E"/>
    <w:rsid w:val="00A86411"/>
    <w:rsid w:val="00A94293"/>
    <w:rsid w:val="00AA6E0E"/>
    <w:rsid w:val="00AB5482"/>
    <w:rsid w:val="00AC5726"/>
    <w:rsid w:val="00AF0FFD"/>
    <w:rsid w:val="00AF4086"/>
    <w:rsid w:val="00B12E37"/>
    <w:rsid w:val="00B15259"/>
    <w:rsid w:val="00B16DFA"/>
    <w:rsid w:val="00B23051"/>
    <w:rsid w:val="00B3294A"/>
    <w:rsid w:val="00B34EBA"/>
    <w:rsid w:val="00B51AEF"/>
    <w:rsid w:val="00B53F38"/>
    <w:rsid w:val="00B60567"/>
    <w:rsid w:val="00B67DFE"/>
    <w:rsid w:val="00B75D2F"/>
    <w:rsid w:val="00B7664B"/>
    <w:rsid w:val="00B84A2E"/>
    <w:rsid w:val="00B91229"/>
    <w:rsid w:val="00B91CA3"/>
    <w:rsid w:val="00BD2BBF"/>
    <w:rsid w:val="00BD6F11"/>
    <w:rsid w:val="00BE1A84"/>
    <w:rsid w:val="00C04BF8"/>
    <w:rsid w:val="00C14D25"/>
    <w:rsid w:val="00C2215F"/>
    <w:rsid w:val="00C707F1"/>
    <w:rsid w:val="00C94FEB"/>
    <w:rsid w:val="00CB2A84"/>
    <w:rsid w:val="00CC3C4D"/>
    <w:rsid w:val="00D00BB0"/>
    <w:rsid w:val="00D33E4E"/>
    <w:rsid w:val="00D40BAC"/>
    <w:rsid w:val="00D63DC7"/>
    <w:rsid w:val="00D91BCF"/>
    <w:rsid w:val="00DA16F0"/>
    <w:rsid w:val="00DA1C05"/>
    <w:rsid w:val="00DE3343"/>
    <w:rsid w:val="00DE43F1"/>
    <w:rsid w:val="00E4402D"/>
    <w:rsid w:val="00E64518"/>
    <w:rsid w:val="00E662AA"/>
    <w:rsid w:val="00EB48F6"/>
    <w:rsid w:val="00EC766E"/>
    <w:rsid w:val="00F0629A"/>
    <w:rsid w:val="00F15788"/>
    <w:rsid w:val="00F25839"/>
    <w:rsid w:val="00F354BA"/>
    <w:rsid w:val="00F37C83"/>
    <w:rsid w:val="00F47B43"/>
    <w:rsid w:val="00F50F29"/>
    <w:rsid w:val="00F51B94"/>
    <w:rsid w:val="00F71912"/>
    <w:rsid w:val="00F719F9"/>
    <w:rsid w:val="00F747B8"/>
    <w:rsid w:val="00FA263A"/>
    <w:rsid w:val="00FA5AA2"/>
    <w:rsid w:val="00FB2B98"/>
    <w:rsid w:val="00FC6740"/>
    <w:rsid w:val="00FC71B5"/>
    <w:rsid w:val="00FD0A98"/>
    <w:rsid w:val="00FD0CAC"/>
    <w:rsid w:val="00FD2E41"/>
    <w:rsid w:val="00FF0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BE3C5-39A4-4FE2-911D-74C148E5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B6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15"/>
    <w:rPr>
      <w:rFonts w:ascii="Segoe UI" w:hAnsi="Segoe UI" w:cs="Segoe UI"/>
      <w:sz w:val="18"/>
      <w:szCs w:val="18"/>
    </w:rPr>
  </w:style>
  <w:style w:type="paragraph" w:styleId="ListParagraph">
    <w:name w:val="List Paragraph"/>
    <w:basedOn w:val="Normal"/>
    <w:uiPriority w:val="34"/>
    <w:qFormat/>
    <w:rsid w:val="00AF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0519">
      <w:bodyDiv w:val="1"/>
      <w:marLeft w:val="0"/>
      <w:marRight w:val="0"/>
      <w:marTop w:val="0"/>
      <w:marBottom w:val="0"/>
      <w:divBdr>
        <w:top w:val="none" w:sz="0" w:space="0" w:color="auto"/>
        <w:left w:val="none" w:sz="0" w:space="0" w:color="auto"/>
        <w:bottom w:val="none" w:sz="0" w:space="0" w:color="auto"/>
        <w:right w:val="none" w:sz="0" w:space="0" w:color="auto"/>
      </w:divBdr>
    </w:div>
    <w:div w:id="374813615">
      <w:bodyDiv w:val="1"/>
      <w:marLeft w:val="0"/>
      <w:marRight w:val="0"/>
      <w:marTop w:val="0"/>
      <w:marBottom w:val="0"/>
      <w:divBdr>
        <w:top w:val="none" w:sz="0" w:space="0" w:color="auto"/>
        <w:left w:val="none" w:sz="0" w:space="0" w:color="auto"/>
        <w:bottom w:val="none" w:sz="0" w:space="0" w:color="auto"/>
        <w:right w:val="none" w:sz="0" w:space="0" w:color="auto"/>
      </w:divBdr>
    </w:div>
    <w:div w:id="462582365">
      <w:bodyDiv w:val="1"/>
      <w:marLeft w:val="0"/>
      <w:marRight w:val="0"/>
      <w:marTop w:val="0"/>
      <w:marBottom w:val="0"/>
      <w:divBdr>
        <w:top w:val="none" w:sz="0" w:space="0" w:color="auto"/>
        <w:left w:val="none" w:sz="0" w:space="0" w:color="auto"/>
        <w:bottom w:val="none" w:sz="0" w:space="0" w:color="auto"/>
        <w:right w:val="none" w:sz="0" w:space="0" w:color="auto"/>
      </w:divBdr>
    </w:div>
    <w:div w:id="816335310">
      <w:bodyDiv w:val="1"/>
      <w:marLeft w:val="0"/>
      <w:marRight w:val="0"/>
      <w:marTop w:val="0"/>
      <w:marBottom w:val="0"/>
      <w:divBdr>
        <w:top w:val="none" w:sz="0" w:space="0" w:color="auto"/>
        <w:left w:val="none" w:sz="0" w:space="0" w:color="auto"/>
        <w:bottom w:val="none" w:sz="0" w:space="0" w:color="auto"/>
        <w:right w:val="none" w:sz="0" w:space="0" w:color="auto"/>
      </w:divBdr>
    </w:div>
    <w:div w:id="1257401208">
      <w:bodyDiv w:val="1"/>
      <w:marLeft w:val="0"/>
      <w:marRight w:val="0"/>
      <w:marTop w:val="0"/>
      <w:marBottom w:val="0"/>
      <w:divBdr>
        <w:top w:val="none" w:sz="0" w:space="0" w:color="auto"/>
        <w:left w:val="none" w:sz="0" w:space="0" w:color="auto"/>
        <w:bottom w:val="none" w:sz="0" w:space="0" w:color="auto"/>
        <w:right w:val="none" w:sz="0" w:space="0" w:color="auto"/>
      </w:divBdr>
    </w:div>
    <w:div w:id="1382100007">
      <w:bodyDiv w:val="1"/>
      <w:marLeft w:val="0"/>
      <w:marRight w:val="0"/>
      <w:marTop w:val="0"/>
      <w:marBottom w:val="0"/>
      <w:divBdr>
        <w:top w:val="none" w:sz="0" w:space="0" w:color="auto"/>
        <w:left w:val="none" w:sz="0" w:space="0" w:color="auto"/>
        <w:bottom w:val="none" w:sz="0" w:space="0" w:color="auto"/>
        <w:right w:val="none" w:sz="0" w:space="0" w:color="auto"/>
      </w:divBdr>
    </w:div>
    <w:div w:id="1508985019">
      <w:bodyDiv w:val="1"/>
      <w:marLeft w:val="0"/>
      <w:marRight w:val="0"/>
      <w:marTop w:val="0"/>
      <w:marBottom w:val="0"/>
      <w:divBdr>
        <w:top w:val="none" w:sz="0" w:space="0" w:color="auto"/>
        <w:left w:val="none" w:sz="0" w:space="0" w:color="auto"/>
        <w:bottom w:val="none" w:sz="0" w:space="0" w:color="auto"/>
        <w:right w:val="none" w:sz="0" w:space="0" w:color="auto"/>
      </w:divBdr>
    </w:div>
    <w:div w:id="20006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C6E4-C881-4841-AD47-256F82DD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CAGRI</dc:creator>
  <cp:lastModifiedBy>YAĞMUR ÖZDİL</cp:lastModifiedBy>
  <cp:revision>2</cp:revision>
  <cp:lastPrinted>2021-12-21T09:15:00Z</cp:lastPrinted>
  <dcterms:created xsi:type="dcterms:W3CDTF">2022-01-05T08:03:00Z</dcterms:created>
  <dcterms:modified xsi:type="dcterms:W3CDTF">2022-01-05T08:03:00Z</dcterms:modified>
</cp:coreProperties>
</file>