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noProof/>
          <w:sz w:val="24"/>
          <w:szCs w:val="24"/>
        </w:rPr>
        <w:drawing>
          <wp:inline distT="0" distB="0" distL="0" distR="0">
            <wp:extent cx="78994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782955"/>
                    </a:xfrm>
                    <a:prstGeom prst="rect">
                      <a:avLst/>
                    </a:prstGeom>
                    <a:noFill/>
                    <a:ln>
                      <a:noFill/>
                    </a:ln>
                  </pic:spPr>
                </pic:pic>
              </a:graphicData>
            </a:graphic>
          </wp:inline>
        </w:drawing>
      </w:r>
    </w:p>
    <w:tbl>
      <w:tblPr>
        <w:tblW w:w="10140" w:type="dxa"/>
        <w:tblLayout w:type="fixed"/>
        <w:tblLook w:val="0000" w:firstRow="0" w:lastRow="0" w:firstColumn="0" w:lastColumn="0" w:noHBand="0" w:noVBand="0"/>
      </w:tblPr>
      <w:tblGrid>
        <w:gridCol w:w="1418"/>
        <w:gridCol w:w="567"/>
        <w:gridCol w:w="567"/>
        <w:gridCol w:w="217"/>
        <w:gridCol w:w="5322"/>
        <w:gridCol w:w="2049"/>
      </w:tblGrid>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jc w:val="center"/>
              <w:rPr>
                <w:rFonts w:eastAsia="Times New Roman" w:cstheme="minorHAnsi"/>
                <w:sz w:val="24"/>
                <w:szCs w:val="24"/>
                <w:lang w:val="tr-TR"/>
              </w:rPr>
            </w:pPr>
          </w:p>
        </w:tc>
        <w:tc>
          <w:tcPr>
            <w:tcW w:w="1351" w:type="dxa"/>
            <w:gridSpan w:val="3"/>
          </w:tcPr>
          <w:p w:rsidR="008E4A35" w:rsidRPr="008E4A35" w:rsidRDefault="008E4A35" w:rsidP="008E4A35">
            <w:pPr>
              <w:spacing w:after="0" w:line="240" w:lineRule="auto"/>
              <w:jc w:val="center"/>
              <w:rPr>
                <w:rFonts w:eastAsia="Times New Roman" w:cstheme="minorHAnsi"/>
                <w:sz w:val="24"/>
                <w:szCs w:val="24"/>
                <w:lang w:val="tr-TR"/>
              </w:rPr>
            </w:pP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KUZEY KIBRIS TÜRK CUMHURİYETİ</w:t>
            </w:r>
          </w:p>
        </w:tc>
        <w:tc>
          <w:tcPr>
            <w:tcW w:w="2049" w:type="dxa"/>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jc w:val="center"/>
              <w:rPr>
                <w:rFonts w:eastAsia="Times New Roman" w:cstheme="minorHAnsi"/>
                <w:sz w:val="24"/>
                <w:szCs w:val="24"/>
                <w:lang w:val="tr-TR"/>
              </w:rPr>
            </w:pPr>
          </w:p>
        </w:tc>
        <w:tc>
          <w:tcPr>
            <w:tcW w:w="1351" w:type="dxa"/>
            <w:gridSpan w:val="3"/>
          </w:tcPr>
          <w:p w:rsidR="008E4A35" w:rsidRPr="008E4A35" w:rsidRDefault="008E4A35" w:rsidP="008E4A35">
            <w:pPr>
              <w:spacing w:after="0" w:line="240" w:lineRule="auto"/>
              <w:jc w:val="center"/>
              <w:rPr>
                <w:rFonts w:eastAsia="Times New Roman" w:cstheme="minorHAnsi"/>
                <w:sz w:val="24"/>
                <w:szCs w:val="24"/>
                <w:lang w:val="tr-TR"/>
              </w:rPr>
            </w:pP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RESMİ GAZETE</w:t>
            </w:r>
          </w:p>
        </w:tc>
        <w:tc>
          <w:tcPr>
            <w:tcW w:w="2049" w:type="dxa"/>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sz w:val="24"/>
                <w:szCs w:val="24"/>
                <w:lang w:val="tr-TR"/>
              </w:rPr>
            </w:pPr>
          </w:p>
        </w:tc>
        <w:tc>
          <w:tcPr>
            <w:tcW w:w="1351" w:type="dxa"/>
            <w:gridSpan w:val="3"/>
          </w:tcPr>
          <w:p w:rsidR="008E4A35" w:rsidRPr="008E4A35" w:rsidRDefault="008E4A35" w:rsidP="008E4A35">
            <w:pPr>
              <w:spacing w:after="0" w:line="240" w:lineRule="auto"/>
              <w:rPr>
                <w:rFonts w:eastAsia="Times New Roman" w:cstheme="minorHAnsi"/>
                <w:sz w:val="24"/>
                <w:szCs w:val="24"/>
                <w:lang w:val="tr-TR"/>
              </w:rPr>
            </w:pPr>
            <w:r w:rsidRPr="008E4A35">
              <w:rPr>
                <w:rFonts w:eastAsia="Times New Roman" w:cstheme="minorHAnsi"/>
                <w:sz w:val="24"/>
                <w:szCs w:val="24"/>
                <w:lang w:val="tr-TR"/>
              </w:rPr>
              <w:t>Sayı : 103</w:t>
            </w: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EK  III</w:t>
            </w:r>
          </w:p>
        </w:tc>
        <w:tc>
          <w:tcPr>
            <w:tcW w:w="2049" w:type="dxa"/>
          </w:tcPr>
          <w:p w:rsidR="008E4A35" w:rsidRPr="008E4A35" w:rsidRDefault="008E4A35" w:rsidP="008E4A35">
            <w:pPr>
              <w:spacing w:after="0" w:line="240" w:lineRule="auto"/>
              <w:jc w:val="right"/>
              <w:rPr>
                <w:rFonts w:eastAsia="Times New Roman" w:cstheme="minorHAnsi"/>
                <w:sz w:val="24"/>
                <w:szCs w:val="24"/>
                <w:lang w:val="tr-TR"/>
              </w:rPr>
            </w:pPr>
            <w:r w:rsidRPr="008E4A35">
              <w:rPr>
                <w:rFonts w:eastAsia="Times New Roman" w:cstheme="minorHAnsi"/>
                <w:sz w:val="24"/>
                <w:szCs w:val="24"/>
                <w:lang w:val="tr-TR"/>
              </w:rPr>
              <w:t>18 Ağustos, 1999</w:t>
            </w:r>
          </w:p>
        </w:tc>
      </w:tr>
      <w:tr w:rsidR="008E4A35" w:rsidRPr="008E4A35" w:rsidTr="008E4A35">
        <w:tblPrEx>
          <w:tblCellMar>
            <w:top w:w="0" w:type="dxa"/>
            <w:bottom w:w="0" w:type="dxa"/>
          </w:tblCellMar>
        </w:tblPrEx>
        <w:tc>
          <w:tcPr>
            <w:tcW w:w="1418" w:type="dxa"/>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p>
        </w:tc>
        <w:tc>
          <w:tcPr>
            <w:tcW w:w="1351" w:type="dxa"/>
            <w:gridSpan w:val="3"/>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p>
        </w:tc>
        <w:tc>
          <w:tcPr>
            <w:tcW w:w="5322" w:type="dxa"/>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TEBLİĞ  VE  İLÂNLAR</w:t>
            </w:r>
          </w:p>
        </w:tc>
        <w:tc>
          <w:tcPr>
            <w:tcW w:w="2049" w:type="dxa"/>
            <w:tcBorders>
              <w:bottom w:val="double" w:sz="6" w:space="0" w:color="auto"/>
            </w:tcBorders>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1351" w:type="dxa"/>
            <w:gridSpan w:val="3"/>
          </w:tcPr>
          <w:p w:rsidR="008E4A35" w:rsidRPr="008E4A35" w:rsidRDefault="008E4A35" w:rsidP="008E4A35">
            <w:pPr>
              <w:spacing w:after="0" w:line="240" w:lineRule="auto"/>
              <w:rPr>
                <w:rFonts w:eastAsia="Times New Roman" w:cstheme="minorHAnsi"/>
                <w:b/>
                <w:sz w:val="24"/>
                <w:szCs w:val="24"/>
                <w:lang w:val="tr-TR"/>
              </w:rPr>
            </w:pPr>
          </w:p>
          <w:p w:rsidR="008E4A35" w:rsidRPr="008E4A35" w:rsidRDefault="008E4A35" w:rsidP="008E4A35">
            <w:pPr>
              <w:spacing w:after="0" w:line="240" w:lineRule="auto"/>
              <w:rPr>
                <w:rFonts w:eastAsia="Times New Roman" w:cstheme="minorHAnsi"/>
                <w:sz w:val="24"/>
                <w:szCs w:val="24"/>
                <w:lang w:val="tr-TR"/>
              </w:rPr>
            </w:pPr>
            <w:r w:rsidRPr="008E4A35">
              <w:rPr>
                <w:rFonts w:eastAsia="Times New Roman" w:cstheme="minorHAnsi"/>
                <w:b/>
                <w:sz w:val="24"/>
                <w:szCs w:val="24"/>
                <w:lang w:val="tr-TR"/>
              </w:rPr>
              <w:t>Sayı : 508</w:t>
            </w:r>
          </w:p>
        </w:tc>
        <w:tc>
          <w:tcPr>
            <w:tcW w:w="5322" w:type="dxa"/>
          </w:tcPr>
          <w:p w:rsidR="008E4A35" w:rsidRPr="008E4A35" w:rsidRDefault="008E4A35" w:rsidP="008E4A35">
            <w:pPr>
              <w:spacing w:after="0" w:line="240" w:lineRule="auto"/>
              <w:jc w:val="center"/>
              <w:rPr>
                <w:rFonts w:eastAsia="Times New Roman" w:cstheme="minorHAnsi"/>
                <w:sz w:val="24"/>
                <w:szCs w:val="24"/>
                <w:lang w:val="tr-TR"/>
              </w:rPr>
            </w:pPr>
          </w:p>
        </w:tc>
        <w:tc>
          <w:tcPr>
            <w:tcW w:w="2049" w:type="dxa"/>
          </w:tcPr>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8722" w:type="dxa"/>
            <w:gridSpan w:val="5"/>
          </w:tcPr>
          <w:p w:rsidR="008E4A35" w:rsidRPr="008E4A35" w:rsidRDefault="008E4A35" w:rsidP="008E4A35">
            <w:pPr>
              <w:spacing w:after="0" w:line="240" w:lineRule="auto"/>
              <w:jc w:val="center"/>
              <w:rPr>
                <w:rFonts w:eastAsia="Times New Roman" w:cstheme="minorHAnsi"/>
                <w:b/>
                <w:sz w:val="24"/>
                <w:szCs w:val="24"/>
                <w:lang w:val="tr-TR"/>
              </w:rPr>
            </w:pPr>
            <w:r w:rsidRPr="008E4A35">
              <w:rPr>
                <w:rFonts w:eastAsia="Times New Roman" w:cstheme="minorHAnsi"/>
                <w:b/>
                <w:sz w:val="24"/>
                <w:szCs w:val="24"/>
                <w:lang w:val="tr-TR"/>
              </w:rPr>
              <w:t>KATMA DEĞER VERGİSİ YASASI</w:t>
            </w:r>
          </w:p>
          <w:p w:rsidR="008E4A35" w:rsidRPr="008E4A35" w:rsidRDefault="008E4A35" w:rsidP="008E4A35">
            <w:pPr>
              <w:spacing w:after="0" w:line="240" w:lineRule="auto"/>
              <w:jc w:val="center"/>
              <w:rPr>
                <w:rFonts w:eastAsia="Times New Roman" w:cstheme="minorHAnsi"/>
                <w:b/>
                <w:sz w:val="24"/>
                <w:szCs w:val="24"/>
                <w:lang w:val="tr-TR"/>
              </w:rPr>
            </w:pPr>
            <w:r w:rsidRPr="008E4A35">
              <w:rPr>
                <w:rFonts w:eastAsia="Times New Roman" w:cstheme="minorHAnsi"/>
                <w:b/>
                <w:sz w:val="24"/>
                <w:szCs w:val="24"/>
                <w:lang w:val="tr-TR"/>
              </w:rPr>
              <w:t>( 47/1992 )</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8722" w:type="dxa"/>
            <w:gridSpan w:val="5"/>
          </w:tcPr>
          <w:p w:rsidR="008E4A35" w:rsidRPr="008E4A35" w:rsidRDefault="008E4A35" w:rsidP="008E4A35">
            <w:pPr>
              <w:spacing w:after="0" w:line="240" w:lineRule="auto"/>
              <w:jc w:val="center"/>
              <w:rPr>
                <w:rFonts w:eastAsia="Times New Roman" w:cstheme="minorHAnsi"/>
                <w:b/>
                <w:sz w:val="24"/>
                <w:szCs w:val="24"/>
                <w:lang w:val="tr-TR"/>
              </w:rPr>
            </w:pPr>
            <w:r w:rsidRPr="008E4A35">
              <w:rPr>
                <w:rFonts w:eastAsia="Times New Roman" w:cstheme="minorHAnsi"/>
                <w:b/>
                <w:sz w:val="24"/>
                <w:szCs w:val="24"/>
                <w:lang w:val="tr-TR"/>
              </w:rPr>
              <w:t>Madde 31 (2) Altında Yapılan Emirname</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sz w:val="24"/>
                <w:szCs w:val="24"/>
                <w:lang w:val="tr-TR"/>
              </w:rPr>
            </w:pPr>
          </w:p>
        </w:tc>
        <w:tc>
          <w:tcPr>
            <w:tcW w:w="8722" w:type="dxa"/>
            <w:gridSpan w:val="5"/>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ab/>
            </w:r>
            <w:r w:rsidRPr="008E4A35">
              <w:rPr>
                <w:rFonts w:eastAsia="Times New Roman" w:cstheme="minorHAnsi"/>
                <w:sz w:val="24"/>
                <w:szCs w:val="24"/>
                <w:lang w:val="tr-TR"/>
              </w:rPr>
              <w:tab/>
              <w:t>K.K.T.C. Bakanlar Kurulu, Katma Değer Vergisi Yasası’nın  31’inci maddesinin (2)’nci fıkrasının kendisine verdiği yetkiyi kullanarak, aşağıdaki Emirnameyi yapar.</w:t>
            </w:r>
          </w:p>
          <w:p w:rsidR="008E4A35" w:rsidRPr="008E4A35" w:rsidRDefault="008E4A35" w:rsidP="008E4A35">
            <w:pPr>
              <w:spacing w:after="0" w:line="240" w:lineRule="auto"/>
              <w:jc w:val="both"/>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Kısa İsim</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1.</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 “Amortismana Tabi Ekonomik Kıymetler Üzerindeki Katma Değer Vergisinin İndirim Süresinin Azaltılması Emirnamesi” olarak isimlendirilir.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Amaç</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2.</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Emirnamenin amacı, yatırımlarda kullanılacak amortismana tabi ekonomik kıymetler için yüklenilen vergilerin, Katma Değer Vergisi Yasası’nın 31’inci maddesinin 1’inci fıkrasında belirtilen üç yılda üç eşit miktarda indirilmesi yerine, bir defada indirilmesine olanak verilmek suretiyle, yatırımların teşvik edilmesidir.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sz w:val="24"/>
                <w:szCs w:val="24"/>
                <w:lang w:val="tr-TR"/>
              </w:rPr>
            </w:pPr>
            <w:r w:rsidRPr="008E4A35">
              <w:rPr>
                <w:rFonts w:eastAsia="Times New Roman" w:cstheme="minorHAnsi"/>
                <w:sz w:val="24"/>
                <w:szCs w:val="24"/>
                <w:lang w:val="tr-TR"/>
              </w:rPr>
              <w:t>İndirimden</w:t>
            </w:r>
          </w:p>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Yararlanma</w:t>
            </w:r>
            <w:r>
              <w:rPr>
                <w:rFonts w:eastAsia="Times New Roman" w:cstheme="minorHAnsi"/>
                <w:sz w:val="24"/>
                <w:szCs w:val="24"/>
                <w:lang w:val="tr-TR"/>
              </w:rPr>
              <w:t>n</w:t>
            </w:r>
            <w:r w:rsidRPr="008E4A35">
              <w:rPr>
                <w:rFonts w:eastAsia="Times New Roman" w:cstheme="minorHAnsi"/>
                <w:sz w:val="24"/>
                <w:szCs w:val="24"/>
                <w:lang w:val="tr-TR"/>
              </w:rPr>
              <w:t>ın</w:t>
            </w:r>
            <w:r>
              <w:rPr>
                <w:rFonts w:eastAsia="Times New Roman" w:cstheme="minorHAnsi"/>
                <w:sz w:val="24"/>
                <w:szCs w:val="24"/>
                <w:lang w:val="tr-TR"/>
              </w:rPr>
              <w:t xml:space="preserve"> </w:t>
            </w:r>
            <w:r w:rsidRPr="008E4A35">
              <w:rPr>
                <w:rFonts w:eastAsia="Times New Roman" w:cstheme="minorHAnsi"/>
                <w:sz w:val="24"/>
                <w:szCs w:val="24"/>
                <w:lang w:val="tr-TR"/>
              </w:rPr>
              <w:t>Usül ve</w:t>
            </w:r>
            <w:r>
              <w:rPr>
                <w:rFonts w:eastAsia="Times New Roman" w:cstheme="minorHAnsi"/>
                <w:sz w:val="24"/>
                <w:szCs w:val="24"/>
                <w:lang w:val="tr-TR"/>
              </w:rPr>
              <w:t xml:space="preserve"> </w:t>
            </w:r>
            <w:r w:rsidRPr="008E4A35">
              <w:rPr>
                <w:rFonts w:eastAsia="Times New Roman" w:cstheme="minorHAnsi"/>
                <w:sz w:val="24"/>
                <w:szCs w:val="24"/>
                <w:lang w:val="tr-TR"/>
              </w:rPr>
              <w:t>Esasları</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3.</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(1)</w:t>
            </w:r>
          </w:p>
        </w:tc>
        <w:tc>
          <w:tcPr>
            <w:tcW w:w="7588" w:type="dxa"/>
            <w:gridSpan w:val="3"/>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Kuzey Kıbrıs Türk Cumhuriyeti Kalkınma Plân ve Programlarındaki hedef ve esaslara göre faaliyet gösteren ve Devlet Plânlama Örgütü tarafından teşvik belgesine bağlanması uygun görülen yatırımlarda kullanılacak amortismana bağlı direk üretimde kullanılan ekonomik kıymetlerin Katma Değer Vergisi, bunların aktife girdiği veya kullanılmaya başlandığı vergilendirme döneminde bir defada indirim konusu yapılır.</w:t>
            </w: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(2)</w:t>
            </w:r>
          </w:p>
        </w:tc>
        <w:tc>
          <w:tcPr>
            <w:tcW w:w="7588" w:type="dxa"/>
            <w:gridSpan w:val="3"/>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 kurallarından yararlanmak için Devlet Plânlama Örgütü’ne başvuruda bulunarak yapılan veya yapılacak yatırımların, Devlet Plânlama Örgütü tarafından teşvik belgesine bağlanmasının uygun görüldüğünü belirten bir yazı temin edilerek bu yazı ile birlikte yatırımın ilgili bulunduğu Resmi Kurum’a müracaatla teşvik belgesi alınacaktır. Bundan sonra yatırımda kullanılacak amortismana bağlı ekonomik kıymetler için yüklenilen Katma Değer Vergileri bir defada indirim konusu yapılacaktır. Ancak, teşvik belgesinin her yıl yenilenmesi koşuldur. Teşvik belgesinin bir sureti ilgili Gelir ve Vergi Dairesine sunulacaktır.</w:t>
            </w:r>
          </w:p>
          <w:p w:rsidR="008E4A35" w:rsidRPr="008E4A35" w:rsidRDefault="008E4A35" w:rsidP="008E4A35">
            <w:pPr>
              <w:spacing w:after="0" w:line="240" w:lineRule="auto"/>
              <w:rPr>
                <w:rFonts w:eastAsia="Times New Roman" w:cstheme="minorHAnsi"/>
                <w:b/>
                <w:sz w:val="24"/>
                <w:szCs w:val="24"/>
                <w:lang w:val="tr-TR"/>
              </w:rPr>
            </w:pPr>
          </w:p>
        </w:tc>
        <w:bookmarkStart w:id="0" w:name="_GoBack"/>
        <w:bookmarkEnd w:id="0"/>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4.</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Emirnamenin yürürlüğe girmesi ile 5.7.1995 tarih ve 90 sayılı Resmi Gazete’de A.E. 471 olarak yayınlanmış olan Emirname yürürlükten kalkar.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t>Yürütme</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5.</w:t>
            </w:r>
          </w:p>
        </w:tc>
        <w:tc>
          <w:tcPr>
            <w:tcW w:w="8155" w:type="dxa"/>
            <w:gridSpan w:val="4"/>
          </w:tcPr>
          <w:p w:rsidR="008E4A35" w:rsidRPr="008E4A35" w:rsidRDefault="008E4A35" w:rsidP="008E4A35">
            <w:pPr>
              <w:spacing w:after="0" w:line="240" w:lineRule="auto"/>
              <w:jc w:val="both"/>
              <w:rPr>
                <w:rFonts w:eastAsia="Times New Roman" w:cstheme="minorHAnsi"/>
                <w:sz w:val="24"/>
                <w:szCs w:val="24"/>
                <w:lang w:val="tr-TR"/>
              </w:rPr>
            </w:pPr>
            <w:r w:rsidRPr="008E4A35">
              <w:rPr>
                <w:rFonts w:eastAsia="Times New Roman" w:cstheme="minorHAnsi"/>
                <w:sz w:val="24"/>
                <w:szCs w:val="24"/>
                <w:lang w:val="tr-TR"/>
              </w:rPr>
              <w:t>Bu Emirname’yi, Maliye İşleri ile ilgili Bakanlık yürütür.</w:t>
            </w:r>
          </w:p>
          <w:p w:rsidR="008E4A35" w:rsidRPr="008E4A35" w:rsidRDefault="008E4A35" w:rsidP="008E4A35">
            <w:pPr>
              <w:spacing w:after="0" w:line="240" w:lineRule="auto"/>
              <w:jc w:val="center"/>
              <w:rPr>
                <w:rFonts w:eastAsia="Times New Roman" w:cstheme="minorHAnsi"/>
                <w:sz w:val="24"/>
                <w:szCs w:val="24"/>
                <w:lang w:val="tr-TR"/>
              </w:rPr>
            </w:pPr>
          </w:p>
        </w:tc>
      </w:tr>
      <w:tr w:rsidR="008E4A35" w:rsidRPr="008E4A35" w:rsidTr="008E4A35">
        <w:tblPrEx>
          <w:tblCellMar>
            <w:top w:w="0" w:type="dxa"/>
            <w:bottom w:w="0" w:type="dxa"/>
          </w:tblCellMar>
        </w:tblPrEx>
        <w:tc>
          <w:tcPr>
            <w:tcW w:w="1418" w:type="dxa"/>
          </w:tcPr>
          <w:p w:rsidR="008E4A35" w:rsidRPr="008E4A35" w:rsidRDefault="008E4A35" w:rsidP="008E4A35">
            <w:pPr>
              <w:spacing w:after="0" w:line="240" w:lineRule="auto"/>
              <w:rPr>
                <w:rFonts w:eastAsia="Times New Roman" w:cstheme="minorHAnsi"/>
                <w:b/>
                <w:sz w:val="24"/>
                <w:szCs w:val="24"/>
                <w:lang w:val="tr-TR"/>
              </w:rPr>
            </w:pPr>
            <w:r w:rsidRPr="008E4A35">
              <w:rPr>
                <w:rFonts w:eastAsia="Times New Roman" w:cstheme="minorHAnsi"/>
                <w:sz w:val="24"/>
                <w:szCs w:val="24"/>
                <w:lang w:val="tr-TR"/>
              </w:rPr>
              <w:lastRenderedPageBreak/>
              <w:t>Yürürlüğe Giriş</w:t>
            </w:r>
          </w:p>
        </w:tc>
        <w:tc>
          <w:tcPr>
            <w:tcW w:w="567" w:type="dxa"/>
          </w:tcPr>
          <w:p w:rsidR="008E4A35" w:rsidRPr="008E4A35" w:rsidRDefault="008E4A35" w:rsidP="008E4A35">
            <w:pPr>
              <w:spacing w:after="0" w:line="240" w:lineRule="auto"/>
              <w:jc w:val="right"/>
              <w:rPr>
                <w:rFonts w:eastAsia="Times New Roman" w:cstheme="minorHAnsi"/>
                <w:b/>
                <w:sz w:val="24"/>
                <w:szCs w:val="24"/>
                <w:lang w:val="tr-TR"/>
              </w:rPr>
            </w:pPr>
            <w:r w:rsidRPr="008E4A35">
              <w:rPr>
                <w:rFonts w:eastAsia="Times New Roman" w:cstheme="minorHAnsi"/>
                <w:b/>
                <w:sz w:val="24"/>
                <w:szCs w:val="24"/>
                <w:lang w:val="tr-TR"/>
              </w:rPr>
              <w:t>6.</w:t>
            </w:r>
          </w:p>
        </w:tc>
        <w:tc>
          <w:tcPr>
            <w:tcW w:w="8155" w:type="dxa"/>
            <w:gridSpan w:val="4"/>
          </w:tcPr>
          <w:p w:rsidR="008E4A35" w:rsidRPr="008E4A35" w:rsidRDefault="008E4A35" w:rsidP="008E4A35">
            <w:pPr>
              <w:spacing w:after="0" w:line="240" w:lineRule="auto"/>
              <w:jc w:val="center"/>
              <w:rPr>
                <w:rFonts w:eastAsia="Times New Roman" w:cstheme="minorHAnsi"/>
                <w:sz w:val="24"/>
                <w:szCs w:val="24"/>
                <w:lang w:val="tr-TR"/>
              </w:rPr>
            </w:pPr>
            <w:r w:rsidRPr="008E4A35">
              <w:rPr>
                <w:rFonts w:eastAsia="Times New Roman" w:cstheme="minorHAnsi"/>
                <w:sz w:val="24"/>
                <w:szCs w:val="24"/>
                <w:lang w:val="tr-TR"/>
              </w:rPr>
              <w:t>Bu Emirname, Resmi Gazete’de yayımlandığı tarihten itibaren yürürlüğe girer.</w:t>
            </w:r>
          </w:p>
        </w:tc>
      </w:tr>
    </w:tbl>
    <w:p w:rsidR="008E4A35" w:rsidRPr="008E4A35" w:rsidRDefault="008E4A35" w:rsidP="008E4A35">
      <w:pPr>
        <w:spacing w:after="0" w:line="240" w:lineRule="auto"/>
        <w:rPr>
          <w:rFonts w:eastAsia="Times New Roman" w:cstheme="minorHAnsi"/>
          <w:sz w:val="24"/>
          <w:szCs w:val="24"/>
          <w:lang w:val="tr-TR"/>
        </w:rPr>
      </w:pPr>
    </w:p>
    <w:p w:rsidR="0056090D" w:rsidRPr="008E4A35" w:rsidRDefault="0056090D">
      <w:pPr>
        <w:rPr>
          <w:rFonts w:cstheme="minorHAnsi"/>
        </w:rPr>
      </w:pPr>
    </w:p>
    <w:sectPr w:rsidR="0056090D" w:rsidRPr="008E4A35">
      <w:headerReference w:type="even" r:id="rId5"/>
      <w:headerReference w:type="default" r:id="rId6"/>
      <w:footerReference w:type="even" r:id="rId7"/>
      <w:footerReference w:type="default" r:id="rId8"/>
      <w:headerReference w:type="first" r:id="rId9"/>
      <w:footerReference w:type="first" r:id="rId10"/>
      <w:pgSz w:w="11907" w:h="16840" w:code="9"/>
      <w:pgMar w:top="1418" w:right="1276" w:bottom="1418" w:left="1276" w:header="992" w:footer="992"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C" w:rsidRDefault="008E4A35" w:rsidP="00DC325D">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F6715C" w:rsidRDefault="008E4A35" w:rsidP="00F67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C" w:rsidRDefault="008E4A35" w:rsidP="00DC3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715C" w:rsidRDefault="008E4A35" w:rsidP="00F671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8E4A3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8E4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8E4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DC" w:rsidRDefault="008E4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35"/>
    <w:rsid w:val="0056090D"/>
    <w:rsid w:val="008E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CBE6F2-E9C6-4206-A9E8-D5EA6319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4A3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E4A35"/>
  </w:style>
  <w:style w:type="paragraph" w:styleId="Header">
    <w:name w:val="header"/>
    <w:basedOn w:val="Normal"/>
    <w:link w:val="HeaderChar"/>
    <w:uiPriority w:val="99"/>
    <w:semiHidden/>
    <w:unhideWhenUsed/>
    <w:rsid w:val="008E4A3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E4A35"/>
  </w:style>
  <w:style w:type="character" w:styleId="PageNumber">
    <w:name w:val="page number"/>
    <w:basedOn w:val="DefaultParagraphFont"/>
    <w:rsid w:val="008E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UĞURLU</dc:creator>
  <cp:keywords/>
  <dc:description/>
  <cp:lastModifiedBy>HAYRİ  UĞURLU</cp:lastModifiedBy>
  <cp:revision>1</cp:revision>
  <dcterms:created xsi:type="dcterms:W3CDTF">2018-05-01T11:49:00Z</dcterms:created>
  <dcterms:modified xsi:type="dcterms:W3CDTF">2018-05-01T11:55:00Z</dcterms:modified>
</cp:coreProperties>
</file>